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400"/>
      </w:pPr>
    </w:p>
    <w:p>
      <w:pPr>
        <w:jc w:val="center"/>
      </w:pPr>
      <w:r>
        <w:rPr>
          <w:rFonts w:ascii="Aptos" w:hAnsi="Aptos"/>
          <w:b/>
          <w:i w:val="0"/>
          <w:color w:val="B28A2E"/>
          <w:sz w:val="20"/>
        </w:rPr>
        <w:t>DOCUMENTO HISTÓRICO INSTITUCIONAL</w:t>
      </w:r>
    </w:p>
    <w:p>
      <w:pPr>
        <w:pStyle w:val="Title"/>
        <w:jc w:val="center"/>
      </w:pPr>
      <w:r>
        <w:t>La huella de la UNPHU</w:t>
        <w:br/>
        <w:t>en el área triestatal</w:t>
      </w:r>
    </w:p>
    <w:p>
      <w:pPr>
        <w:pStyle w:val="Subtitle"/>
        <w:jc w:val="center"/>
      </w:pPr>
      <w:r>
        <w:t>Aportes y servicios a la comunidad</w:t>
      </w:r>
    </w:p>
    <w:p>
      <w:pPr>
        <w:spacing w:after="680"/>
        <w:jc w:val="center"/>
      </w:pPr>
      <w:r>
        <w:rPr>
          <w:rFonts w:ascii="Aptos" w:hAnsi="Aptos"/>
          <w:b/>
          <w:i w:val="0"/>
          <w:color w:val="17365D"/>
          <w:sz w:val="24"/>
        </w:rPr>
        <w:t>Nueva York  •  Camden  •  Filadelfia</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shd w:fill="F7F1E2"/>
            <w:vAlign w:val="center"/>
          </w:tcPr>
          <w:p>
            <w:pPr>
              <w:spacing w:before="160" w:after="160"/>
            </w:pPr>
            <w:r>
              <w:rPr>
                <w:rFonts w:ascii="Aptos" w:hAnsi="Aptos"/>
                <w:b/>
                <w:i w:val="0"/>
                <w:color w:val="17365D"/>
                <w:sz w:val="22"/>
              </w:rPr>
              <w:t>Una memoria que merece continuidad</w:t>
              <w:br/>
            </w:r>
            <w:r>
              <w:rPr>
                <w:rFonts w:ascii="Aptos" w:hAnsi="Aptos"/>
                <w:b w:val="0"/>
                <w:i w:val="0"/>
                <w:color w:val="202A35"/>
                <w:sz w:val="22"/>
              </w:rPr>
              <w:t>Durante aproximadamente dos décadas, la extensión acercó formación universitaria y educación continua a profesionales dominicanos y latinos, convirtiendo aulas comunitarias en espacios de movilidad, servicio y esperanza.</w:t>
            </w:r>
          </w:p>
        </w:tc>
      </w:tr>
    </w:tbl>
    <w:p>
      <w:pPr>
        <w:spacing w:after="40"/>
      </w:pPr>
    </w:p>
    <w:p>
      <w:pPr>
        <w:spacing w:before="900"/>
        <w:jc w:val="center"/>
      </w:pPr>
      <w:r>
        <w:rPr>
          <w:rFonts w:ascii="Aptos" w:hAnsi="Aptos"/>
          <w:b/>
          <w:i w:val="0"/>
          <w:color w:val="667085"/>
          <w:sz w:val="20"/>
        </w:rPr>
        <w:t>Preparado por la Asociación Hispana de Profesionales de la Salud (AHPSI)</w:t>
      </w:r>
    </w:p>
    <w:p>
      <w:pPr>
        <w:jc w:val="center"/>
      </w:pPr>
      <w:r>
        <w:rPr>
          <w:rFonts w:ascii="Aptos" w:hAnsi="Aptos"/>
          <w:b w:val="0"/>
          <w:i w:val="0"/>
          <w:color w:val="667085"/>
          <w:sz w:val="20"/>
        </w:rPr>
        <w:t>Septiembre de 2026</w:t>
      </w:r>
    </w:p>
    <w:p>
      <w:r>
        <w:br w:type="page"/>
      </w:r>
    </w:p>
    <w:p>
      <w:pPr>
        <w:pStyle w:val="Heading1"/>
      </w:pPr>
      <w:r>
        <w:t>Presentación</w:t>
      </w:r>
    </w:p>
    <w:p>
      <w:r>
        <w:rPr>
          <w:rFonts w:ascii="Aptos" w:hAnsi="Aptos"/>
          <w:b w:val="0"/>
          <w:i w:val="0"/>
          <w:color w:val="202A35"/>
          <w:sz w:val="22"/>
        </w:rPr>
        <w:t>La Asociación Hispana de Profesionales de la Salud (AHPSI) presenta esta memoria con profundo respeto y gratitud. Su propósito es reconocer la presencia académica de la Universidad Nacional Pedro Henríquez Ureña (UNPHU) en el área triestatal y preservar el recuerdo de una obra que llevó oportunidades de postgrado, actualización profesional y servicio comunitario a Nueva York, Camden y Filadelfia.</w:t>
      </w:r>
    </w:p>
    <w:p>
      <w:r>
        <w:rPr>
          <w:rFonts w:ascii="Aptos" w:hAnsi="Aptos"/>
          <w:b w:val="0"/>
          <w:i w:val="0"/>
          <w:color w:val="202A35"/>
          <w:sz w:val="22"/>
        </w:rPr>
        <w:t>La historia de esta extensión no puede medirse solamente en asignaturas, créditos o diplomas. Su verdadera dimensión vive en los profesionales que pudieron continuar estudiando sin romper sus vínculos familiares, laborales y culturales; en los educadores que regresaron mejor preparados a sus escuelas; en los consejeros que acompañaron a niños y familias; y en quienes encontraron, en un aula cercana, la posibilidad de avanzar.</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shd w:fill="F2F5F8"/>
            <w:vAlign w:val="center"/>
          </w:tcPr>
          <w:p>
            <w:pPr>
              <w:spacing w:before="160" w:after="160"/>
            </w:pPr>
            <w:r>
              <w:rPr>
                <w:rFonts w:ascii="Aptos" w:hAnsi="Aptos"/>
                <w:b/>
                <w:i w:val="0"/>
                <w:color w:val="17365D"/>
                <w:sz w:val="22"/>
              </w:rPr>
              <w:t>Nota de alcance histórico</w:t>
              <w:br/>
            </w:r>
            <w:r>
              <w:rPr>
                <w:rFonts w:ascii="Aptos" w:hAnsi="Aptos"/>
                <w:b w:val="0"/>
                <w:i w:val="0"/>
                <w:color w:val="202A35"/>
                <w:sz w:val="22"/>
              </w:rPr>
              <w:t>Según la memoria institucional aportada por AHPSI, la extensión funcionó durante un período aproximado de 18 a 20 años y cesó sus actividades en 2019. Las sedes, colaboraciones y circunstancias del cierre aquí descritas proceden de ese testimonio institucional. El folleto adjunto de la Extensión UNPHU New York sirve como fuente primaria para la oferta académica documentada.</w:t>
            </w:r>
          </w:p>
        </w:tc>
      </w:tr>
    </w:tbl>
    <w:p>
      <w:pPr>
        <w:spacing w:after="40"/>
      </w:pPr>
    </w:p>
    <w:p>
      <w:pPr>
        <w:pStyle w:val="Heading1"/>
      </w:pPr>
      <w:r>
        <w:t>Una universidad dominicana con vocación humanista</w:t>
      </w:r>
    </w:p>
    <w:p>
      <w:r>
        <w:rPr>
          <w:rFonts w:ascii="Aptos" w:hAnsi="Aptos"/>
          <w:b w:val="0"/>
          <w:i w:val="0"/>
          <w:color w:val="202A35"/>
          <w:sz w:val="22"/>
        </w:rPr>
        <w:t>La UNPHU nació en 1966, impulsada por la Fundación Universitaria Dominicana. Inició formalmente sus actividades académicas el 19 de noviembre de ese año con una visión humanista, laica y sin fines de lucro. Su presencia en la diáspora prolongó esa misión: hacer de la educación una herramienta de desarrollo humano y compromiso social.</w:t>
      </w:r>
    </w:p>
    <w:p>
      <w:pPr>
        <w:pStyle w:val="Heading1"/>
      </w:pPr>
      <w:r>
        <w:t>Un recorrido por sedes comunitarias y escolares</w:t>
      </w:r>
    </w:p>
    <w:p>
      <w:r>
        <w:rPr>
          <w:rFonts w:ascii="Aptos" w:hAnsi="Aptos"/>
          <w:b w:val="0"/>
          <w:i w:val="0"/>
          <w:color w:val="202A35"/>
          <w:sz w:val="22"/>
        </w:rPr>
        <w:t>En Nueva York, la extensión comenzó operando en el local de la Association of Progressive Dominicans (ACDP), una organización de reconocida misión comunitaria. Más adelante desarrolló actividades en George Washington High School y, durante su última etapa, funcionó en la Escuela Gregorio Luperón, en Washington Heights. Estos espacios fueron mucho más que direcciones: fueron puntos de encuentro entre la universidad, la comunidad inmigrante y el sueño de superación profesional.</w:t>
      </w:r>
    </w:p>
    <w:p>
      <w:r>
        <w:rPr>
          <w:rFonts w:ascii="Aptos" w:hAnsi="Aptos"/>
          <w:b w:val="0"/>
          <w:i w:val="0"/>
          <w:color w:val="202A35"/>
          <w:sz w:val="22"/>
        </w:rPr>
        <w:t>En los comienzos de UNPHU-NY, la Dra. Marleny Sarante y el Dr. Diógenes Fermín desempeñaron una labor decisiva. Su compromiso, visión y disposición para colaborar fueron claves para que la extensión pudiera iniciar sus actividades y comenzar a construir una presencia académica al servicio de la comunidad dominicana y latina de Nueva York.</w:t>
      </w:r>
    </w:p>
    <w:p>
      <w:r>
        <w:rPr>
          <w:rFonts w:ascii="Aptos" w:hAnsi="Aptos"/>
          <w:b w:val="0"/>
          <w:i w:val="0"/>
          <w:color w:val="202A35"/>
          <w:sz w:val="22"/>
        </w:rPr>
        <w:t>La experiencia también se proyectó hacia Camden y Filadelfia. En Camden, el Dr. César Tavera contribuyó al desarrollo de programas de maestría y diplomados en educación y humanidades, con la asesoría y el respaldo del Dr. Carlos Nicolás Di Nubila Sobrado. Esta expansión respondió a una necesidad concreta: acercar educación superior pertinente a profesionales establecidos fuera de la República Dominicana.</w:t>
      </w:r>
    </w:p>
    <w:p>
      <w:r>
        <w:rPr>
          <w:rFonts w:ascii="Aptos" w:hAnsi="Aptos"/>
          <w:b w:val="0"/>
          <w:i w:val="0"/>
          <w:color w:val="202A35"/>
          <w:sz w:val="22"/>
        </w:rPr>
        <w:t>De acuerdo con la memoria de AHPSI, el alto costo de la renta y la falta de apoyo sostenido de funcionarios electos fueron factores determinantes en el cierre de las actividades en 2019. Ese final no borra la obra realizada; al contrario, plantea una responsabilidad colectiva: aprender de la experiencia y construir alianzas más firmes para que iniciativas semejantes puedan regresar y permanecer.</w:t>
      </w:r>
    </w:p>
    <w:p>
      <w:r>
        <w:br w:type="page"/>
      </w:r>
    </w:p>
    <w:p>
      <w:pPr>
        <w:pStyle w:val="Heading1"/>
      </w:pPr>
      <w:r>
        <w:t>Oferta académica documentada</w:t>
      </w:r>
    </w:p>
    <w:p>
      <w:r>
        <w:rPr>
          <w:rFonts w:ascii="Aptos" w:hAnsi="Aptos"/>
          <w:b w:val="0"/>
          <w:i w:val="0"/>
          <w:color w:val="202A35"/>
          <w:sz w:val="22"/>
        </w:rPr>
        <w:t>El folleto histórico “Extensión UNPHU New York” documenta programas de postgrado, diplomados, especialidades y cursos independientes. La siguiente síntesis conserva los nombres de las credenciales indicadas en la fuente; no debe interpretarse como la oferta vigente de la UNPHU en 2026.</w:t>
      </w:r>
    </w:p>
    <w:p>
      <w:pPr>
        <w:pStyle w:val="Heading2"/>
      </w:pPr>
      <w:r>
        <w:t>Maestrías</w:t>
      </w:r>
    </w:p>
    <w:p>
      <w:pPr>
        <w:pStyle w:val="ListBullet"/>
      </w:pPr>
      <w:r>
        <w:rPr>
          <w:rFonts w:ascii="Aptos" w:hAnsi="Aptos"/>
          <w:b w:val="0"/>
          <w:i w:val="0"/>
          <w:color w:val="202A35"/>
          <w:sz w:val="22"/>
        </w:rPr>
        <w:t>Maestría en Orientación y Consejería.</w:t>
      </w:r>
    </w:p>
    <w:p>
      <w:pPr>
        <w:pStyle w:val="ListBullet"/>
      </w:pPr>
      <w:r>
        <w:rPr>
          <w:rFonts w:ascii="Aptos" w:hAnsi="Aptos"/>
          <w:b w:val="0"/>
          <w:i w:val="0"/>
          <w:color w:val="202A35"/>
          <w:sz w:val="22"/>
        </w:rPr>
        <w:t>Maestría en Educación Bilingüe/Multicultural.</w:t>
      </w:r>
    </w:p>
    <w:p>
      <w:pPr>
        <w:pStyle w:val="ListBullet"/>
      </w:pPr>
      <w:r>
        <w:rPr>
          <w:rFonts w:ascii="Aptos" w:hAnsi="Aptos"/>
          <w:b w:val="0"/>
          <w:i w:val="0"/>
          <w:color w:val="202A35"/>
          <w:sz w:val="22"/>
        </w:rPr>
        <w:t>Maestría en Educación Especial.</w:t>
      </w:r>
    </w:p>
    <w:p>
      <w:pPr>
        <w:pStyle w:val="ListBullet"/>
      </w:pPr>
      <w:r>
        <w:rPr>
          <w:rFonts w:ascii="Aptos" w:hAnsi="Aptos"/>
          <w:b w:val="0"/>
          <w:i w:val="0"/>
          <w:color w:val="202A35"/>
          <w:sz w:val="22"/>
        </w:rPr>
        <w:t>Maestría en Psicología Clínica, dirigida en el folleto a médicos y psicólogos.</w:t>
      </w:r>
    </w:p>
    <w:p>
      <w:pPr>
        <w:pStyle w:val="Heading2"/>
      </w:pPr>
      <w:r>
        <w:t>Diplomados y especialidades</w:t>
      </w:r>
    </w:p>
    <w:p>
      <w:pPr>
        <w:pStyle w:val="ListBullet"/>
      </w:pPr>
      <w:r>
        <w:rPr>
          <w:rFonts w:ascii="Aptos" w:hAnsi="Aptos"/>
          <w:b w:val="0"/>
          <w:i w:val="0"/>
          <w:color w:val="202A35"/>
          <w:sz w:val="22"/>
        </w:rPr>
        <w:t>Diplomado en Planificación y Gestión Educativa.</w:t>
      </w:r>
    </w:p>
    <w:p>
      <w:pPr>
        <w:pStyle w:val="ListBullet"/>
      </w:pPr>
      <w:r>
        <w:rPr>
          <w:rFonts w:ascii="Aptos" w:hAnsi="Aptos"/>
          <w:b w:val="0"/>
          <w:i w:val="0"/>
          <w:color w:val="202A35"/>
          <w:sz w:val="22"/>
        </w:rPr>
        <w:t>Diplomado/área de formación en Consejería Escolar.</w:t>
      </w:r>
    </w:p>
    <w:p>
      <w:pPr>
        <w:pStyle w:val="ListBullet"/>
      </w:pPr>
      <w:r>
        <w:rPr>
          <w:rFonts w:ascii="Aptos" w:hAnsi="Aptos"/>
          <w:b w:val="0"/>
          <w:i w:val="0"/>
          <w:color w:val="202A35"/>
          <w:sz w:val="22"/>
        </w:rPr>
        <w:t>Especialidad en Educación Temprana.</w:t>
      </w:r>
    </w:p>
    <w:p>
      <w:pPr>
        <w:pStyle w:val="ListBullet"/>
      </w:pPr>
      <w:r>
        <w:rPr>
          <w:rFonts w:ascii="Aptos" w:hAnsi="Aptos"/>
          <w:b w:val="0"/>
          <w:i w:val="0"/>
          <w:color w:val="202A35"/>
          <w:sz w:val="22"/>
        </w:rPr>
        <w:t>El folleto señala que, al completar 30 créditos de cada especialidad, se otorgaba el diplomado correspondiente.</w:t>
      </w:r>
    </w:p>
    <w:p>
      <w:pPr>
        <w:pStyle w:val="Heading2"/>
      </w:pPr>
      <w:r>
        <w:t>Cursos independientes para educación y certificación docente</w:t>
      </w:r>
    </w:p>
    <w:p>
      <w:pPr>
        <w:pStyle w:val="ListBullet"/>
      </w:pPr>
      <w:r>
        <w:rPr>
          <w:rFonts w:ascii="Aptos" w:hAnsi="Aptos"/>
          <w:b w:val="0"/>
          <w:i w:val="0"/>
          <w:color w:val="202A35"/>
          <w:sz w:val="22"/>
        </w:rPr>
        <w:t>Enseñanza de áreas de contenido a estudiantes ESL; enfoques transculturales de aprendizaje; enseñanza de áreas de contenido con enfoque bilingüe.</w:t>
      </w:r>
    </w:p>
    <w:p>
      <w:pPr>
        <w:pStyle w:val="ListBullet"/>
      </w:pPr>
      <w:r>
        <w:rPr>
          <w:rFonts w:ascii="Aptos" w:hAnsi="Aptos"/>
          <w:b w:val="0"/>
          <w:i w:val="0"/>
          <w:color w:val="202A35"/>
          <w:sz w:val="22"/>
        </w:rPr>
        <w:t>Expresión Artística I y II; Composición I y II; Psicolingüística; Literatura Hispanoamericana; Psicología y Educación del Adolescente.</w:t>
      </w:r>
    </w:p>
    <w:p>
      <w:pPr>
        <w:pStyle w:val="ListBullet"/>
      </w:pPr>
      <w:r>
        <w:rPr>
          <w:rFonts w:ascii="Aptos" w:hAnsi="Aptos"/>
          <w:b w:val="0"/>
          <w:i w:val="0"/>
          <w:color w:val="202A35"/>
          <w:sz w:val="22"/>
        </w:rPr>
        <w:t>Fundamentos de la Educación; métodos, destrezas y desarrollo de la lectura; lectura en áreas de contenido; aprendizaje de la lectoescritura; diagnóstico y remediación de incapacidades de lectura.</w:t>
      </w:r>
    </w:p>
    <w:p>
      <w:pPr>
        <w:pStyle w:val="ListBullet"/>
      </w:pPr>
      <w:r>
        <w:rPr>
          <w:rFonts w:ascii="Aptos" w:hAnsi="Aptos"/>
          <w:b w:val="0"/>
          <w:i w:val="0"/>
          <w:color w:val="202A35"/>
          <w:sz w:val="22"/>
        </w:rPr>
        <w:t>Ciencias y necesidades especiales; trastornos generalizados del desarrollo/autismo; currículo e instrucción para estudiantes con incapacidades; manejo del ambiente; estudiantes con discapacidades y cuidados especializados/salud; Biología General y otros cursos consignados en el folleto.</w:t>
      </w:r>
    </w:p>
    <w:p>
      <w:pPr>
        <w:pStyle w:val="Heading2"/>
      </w:pPr>
      <w:r>
        <w:t>Componentes comunes y formación aplicada</w:t>
      </w:r>
    </w:p>
    <w:p>
      <w:r>
        <w:rPr>
          <w:rFonts w:ascii="Aptos" w:hAnsi="Aptos"/>
          <w:b w:val="0"/>
          <w:i w:val="0"/>
          <w:color w:val="202A35"/>
          <w:sz w:val="22"/>
        </w:rPr>
        <w:t>Las maestrías en educación incluían un núcleo de investigación educativa, tecnología aplicada, fundamentos filosóficos y sociológicos, estrategias de aprendizaje, currículo, gestión de procesos educativos y desarrollo humano. Los planes incorporaban evaluación, diagnóstico, ética, práctica profesional, intervención y tesis, lo que demuestra una orientación hacia el desempeño real en escuelas, clínicas y organizaciones comunitarias.</w:t>
      </w:r>
    </w:p>
    <w:p>
      <w:pPr>
        <w:pStyle w:val="Heading1"/>
      </w:pPr>
      <w:r>
        <w:t>La Maestría en Psicología Clínica: una obra compartida</w:t>
      </w:r>
    </w:p>
    <w:p>
      <w:r>
        <w:rPr>
          <w:rFonts w:ascii="Aptos" w:hAnsi="Aptos"/>
          <w:b w:val="0"/>
          <w:i w:val="0"/>
          <w:color w:val="202A35"/>
          <w:sz w:val="22"/>
        </w:rPr>
        <w:t>AHPSI expresa un agradecimiento especialmente emotivo a la Dra. Leonor Francisca Tavárez, quien coordinó, junto con nuestra asociación, la Maestría en Psicología Clínica. Su liderazgo ayudó a articular una formación rigurosa y sensible a las realidades humanas de la comunidad.</w:t>
      </w:r>
    </w:p>
    <w:p>
      <w:r>
        <w:rPr>
          <w:rFonts w:ascii="Aptos" w:hAnsi="Aptos"/>
          <w:b w:val="0"/>
          <w:i w:val="0"/>
          <w:color w:val="202A35"/>
          <w:sz w:val="22"/>
        </w:rPr>
        <w:t>El plan documentado integraba fundamentos y técnicas de psicología clínica, desarrollo humano, entrevista y evaluación psicológica, psicopatología infantil, juvenil y del adulto, psicodiagnóstico, ética, investigación, intervención con niños y adultos, terapia familiar y de pareja, neurociencia, prácticas supervisadas y tesis. No era únicamente una secuencia académica: era preparación para escuchar, evaluar, orientar e intervenir con responsabilidad.</w:t>
      </w:r>
    </w:p>
    <w:p>
      <w:pPr>
        <w:pStyle w:val="Heading1"/>
      </w:pPr>
      <w:r>
        <w:t>Reconocimientos que forman parte de esta historia</w:t>
      </w:r>
    </w:p>
    <w:p>
      <w:r>
        <w:rPr>
          <w:rFonts w:ascii="Aptos" w:hAnsi="Aptos"/>
          <w:b w:val="0"/>
          <w:i w:val="0"/>
          <w:color w:val="202A35"/>
          <w:sz w:val="22"/>
        </w:rPr>
        <w:t>Al Dr. Carlos Nicolás Di Nubila Sobrado, nuestro reconocimiento más profundo. Su confianza en AHPSI y en el Dr. Aritmedes Restituyo permitió que ambos contribuyeran a la administración de los programas académicos durante la última etapa de la extensión. Esa confianza fue un puente entre la institución universitaria y una organización nacida para servir a los profesionales hispanos de la salud.</w:t>
      </w:r>
    </w:p>
    <w:p>
      <w:r>
        <w:rPr>
          <w:rFonts w:ascii="Aptos" w:hAnsi="Aptos"/>
          <w:b w:val="0"/>
          <w:i w:val="0"/>
          <w:color w:val="202A35"/>
          <w:sz w:val="22"/>
        </w:rPr>
        <w:t>Al Dr. Dante Sánchez, profesor y coordinador de varios programas en el área de Consejería Clínica, nuestro agradecimiento por compartir conocimientos, acompañar estudiantes y fortalecer una disciplina indispensable para el bienestar emocional y familiar de nuestra comunidad.</w:t>
      </w:r>
    </w:p>
    <w:p>
      <w:r>
        <w:rPr>
          <w:rFonts w:ascii="Aptos" w:hAnsi="Aptos"/>
          <w:b w:val="0"/>
          <w:i w:val="0"/>
          <w:color w:val="202A35"/>
          <w:sz w:val="22"/>
        </w:rPr>
        <w:t>A la Dra. Marleny Sarante y al Dr. Diógenes Fermín, nuestro agradecimiento especial por haber sido pilares en la etapa fundacional de UNPHU-NY. Su apoyo fue esencial para transformar una aspiración colectiva en una iniciativa académica concreta y abrir las puertas de la extensión a sus primeros estudiantes.</w:t>
      </w:r>
    </w:p>
    <w:p>
      <w:r>
        <w:rPr>
          <w:rFonts w:ascii="Aptos" w:hAnsi="Aptos"/>
          <w:b w:val="0"/>
          <w:i w:val="0"/>
          <w:color w:val="202A35"/>
          <w:sz w:val="22"/>
        </w:rPr>
        <w:t>A la profesora Francesca Peña y al Lic. Ignacio Peña, expresamos nuestro reconocimiento por sus valiosos aportes al desarrollo de los programas de maestría en Consejería Psicológica. Su entrega académica y su colaboración ayudaron a fortalecer una formación orientada a la comprensión, el acompañamiento y el bienestar emocional de individuos, familias y comunidades.</w:t>
      </w:r>
    </w:p>
    <w:p>
      <w:r>
        <w:rPr>
          <w:rFonts w:ascii="Aptos" w:hAnsi="Aptos"/>
          <w:b w:val="0"/>
          <w:i w:val="0"/>
          <w:color w:val="202A35"/>
          <w:sz w:val="22"/>
        </w:rPr>
        <w:t>Al Dr. César Tavera, nuestro reconocimiento por su contribución al desarrollo de programas en Camden, particularmente en educación y humanidades, bajo la asesoría y el apoyo del Dr. Carlos Di Nubila. Su labor ayudó a extender el alcance de esta iniciativa más allá de Nueva York.</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shd w:fill="F7F1E2"/>
            <w:vAlign w:val="center"/>
          </w:tcPr>
          <w:p>
            <w:pPr>
              <w:spacing w:before="160" w:after="160"/>
            </w:pPr>
            <w:r>
              <w:rPr>
                <w:rFonts w:ascii="Aptos" w:hAnsi="Aptos"/>
                <w:b/>
                <w:i w:val="0"/>
                <w:color w:val="17365D"/>
                <w:sz w:val="22"/>
              </w:rPr>
              <w:t>Gratitud institucional</w:t>
              <w:br/>
            </w:r>
            <w:r>
              <w:rPr>
                <w:rFonts w:ascii="Aptos" w:hAnsi="Aptos"/>
                <w:b w:val="0"/>
                <w:i w:val="0"/>
                <w:color w:val="202A35"/>
                <w:sz w:val="22"/>
              </w:rPr>
              <w:t>Gracias a la UNPHU por la confianza depositada en AHPSI y en el Dr. Aritmedes Restituyo. Esa colaboración demostró que, cuando la universidad y la comunidad se reconocen como aliadas, la distancia geográfica deja de ser una barrera para aprender y servir.</w:t>
            </w:r>
          </w:p>
        </w:tc>
      </w:tr>
    </w:tbl>
    <w:p>
      <w:pPr>
        <w:spacing w:after="40"/>
      </w:pPr>
    </w:p>
    <w:p>
      <w:pPr>
        <w:pStyle w:val="Heading1"/>
      </w:pPr>
      <w:r>
        <w:t>Una respuesta a la realidad de la diáspora</w:t>
      </w:r>
    </w:p>
    <w:p>
      <w:r>
        <w:rPr>
          <w:rFonts w:ascii="Aptos" w:hAnsi="Aptos"/>
          <w:b w:val="0"/>
          <w:i w:val="0"/>
          <w:color w:val="202A35"/>
          <w:sz w:val="22"/>
        </w:rPr>
        <w:t>La necesidad que dio origen a estos programas continúa vigente. Según un análisis de 2024 del Migration Policy Institute basado en datos de la American Community Survey 2018-2022, aproximadamente 1.3 millones de inmigrantes nacidos en la República Dominicana vivían en Estados Unidos en 2022. Cerca del 55 % residía en el área metropolitana de Nueva York; por estado, el 41 % se encontraba en Nueva York y el 17 % en Nueva Jersey. Además, alrededor del 64 % de los dominicanos inmigrantes de cinco años o más declaró hablar inglés menos que “muy bien”.</w:t>
      </w:r>
    </w:p>
    <w:p>
      <w:r>
        <w:rPr>
          <w:rFonts w:ascii="Aptos" w:hAnsi="Aptos"/>
          <w:b w:val="0"/>
          <w:i w:val="0"/>
          <w:color w:val="202A35"/>
          <w:sz w:val="22"/>
        </w:rPr>
        <w:t>Estas cifras se refieren a personas inmigrantes nacidas en la República Dominicana, no a la totalidad de quienes tienen origen o ascendencia dominicana. Aun así, revelan la magnitud y concentración de una población que necesita rutas de formación accesibles, acompañamiento lingüístico, reconocimiento de credenciales y programas conectados con el mercado laboral y las necesidades de salud, educación y bienestar social.</w:t>
      </w:r>
    </w:p>
    <w:p>
      <w:pPr>
        <w:pStyle w:val="Heading1"/>
      </w:pPr>
      <w:r>
        <w:t>Continuar el legado: una tarea urgente</w:t>
      </w:r>
    </w:p>
    <w:p>
      <w:r>
        <w:rPr>
          <w:rFonts w:ascii="Aptos" w:hAnsi="Aptos"/>
          <w:b w:val="0"/>
          <w:i w:val="0"/>
          <w:color w:val="202A35"/>
          <w:sz w:val="22"/>
        </w:rPr>
        <w:t>La diáspora dominicana y latina necesita iniciativas académicas que comprendan su realidad: profesionales que trabajan a tiempo completo, padres y madres con responsabilidades familiares, inmigrantes que deben navegar nuevos sistemas y personas altamente preparadas cuyos estudios previos no siempre son reconocidos de inmediato. Llevar la universidad hacia donde vive la comunidad reduce barreras de distancia, idioma, costo e información.</w:t>
      </w:r>
    </w:p>
    <w:p>
      <w:r>
        <w:rPr>
          <w:rFonts w:ascii="Aptos" w:hAnsi="Aptos"/>
          <w:b w:val="0"/>
          <w:i w:val="0"/>
          <w:color w:val="202A35"/>
          <w:sz w:val="22"/>
        </w:rPr>
        <w:t>Continuar el legado de la extensión UNPHU exige alianzas nuevas y sostenibles entre universidades, organizaciones comunitarias, escuelas, profesionales, líderes públicos y el sector privado. También requiere sedes asequibles, apoyo tecnológico, orientación académica, vías transparentes de acreditación y una oferta que responda a las profesiones de mayor necesidad en cada ciudad.</w:t>
      </w:r>
    </w:p>
    <w:p>
      <w:pPr>
        <w:pStyle w:val="Heading2"/>
      </w:pPr>
      <w:r>
        <w:t>Principios para una nueva etapa</w:t>
      </w:r>
    </w:p>
    <w:p>
      <w:pPr>
        <w:pStyle w:val="ListBullet"/>
      </w:pPr>
      <w:r>
        <w:rPr>
          <w:rFonts w:ascii="Aptos" w:hAnsi="Aptos"/>
          <w:b w:val="0"/>
          <w:i w:val="0"/>
          <w:color w:val="202A35"/>
          <w:sz w:val="22"/>
        </w:rPr>
        <w:t>Acceso: programas presenciales, híbridos y virtuales compatibles con la vida laboral y familiar.</w:t>
      </w:r>
    </w:p>
    <w:p>
      <w:pPr>
        <w:pStyle w:val="ListBullet"/>
      </w:pPr>
      <w:r>
        <w:rPr>
          <w:rFonts w:ascii="Aptos" w:hAnsi="Aptos"/>
          <w:b w:val="0"/>
          <w:i w:val="0"/>
          <w:color w:val="202A35"/>
          <w:sz w:val="22"/>
        </w:rPr>
        <w:t>Pertinencia: formación vinculada con educación, salud mental, consejería, bilingüismo, liderazgo comunitario y otras áreas de alta demanda.</w:t>
      </w:r>
    </w:p>
    <w:p>
      <w:pPr>
        <w:pStyle w:val="ListBullet"/>
      </w:pPr>
      <w:r>
        <w:rPr>
          <w:rFonts w:ascii="Aptos" w:hAnsi="Aptos"/>
          <w:b w:val="0"/>
          <w:i w:val="0"/>
          <w:color w:val="202A35"/>
          <w:sz w:val="22"/>
        </w:rPr>
        <w:t>Acompañamiento: orientación sobre admisión, evaluación de credenciales, prácticas, licencias y desarrollo profesional.</w:t>
      </w:r>
    </w:p>
    <w:p>
      <w:pPr>
        <w:pStyle w:val="ListBullet"/>
      </w:pPr>
      <w:r>
        <w:rPr>
          <w:rFonts w:ascii="Aptos" w:hAnsi="Aptos"/>
          <w:b w:val="0"/>
          <w:i w:val="0"/>
          <w:color w:val="202A35"/>
          <w:sz w:val="22"/>
        </w:rPr>
        <w:t>Sostenibilidad: acuerdos claros sobre sedes, costos, becas y corresponsabilidad institucional.</w:t>
      </w:r>
    </w:p>
    <w:p>
      <w:pPr>
        <w:pStyle w:val="ListBullet"/>
      </w:pPr>
      <w:r>
        <w:rPr>
          <w:rFonts w:ascii="Aptos" w:hAnsi="Aptos"/>
          <w:b w:val="0"/>
          <w:i w:val="0"/>
          <w:color w:val="202A35"/>
          <w:sz w:val="22"/>
        </w:rPr>
        <w:t>Identidad y servicio: excelencia académica que valore la cultura, el bilingüismo y el compromiso con la comunidad.</w:t>
      </w:r>
    </w:p>
    <w:p>
      <w:pPr>
        <w:pStyle w:val="Heading1"/>
      </w:pPr>
      <w:r>
        <w:t>Mensaje a las nuevas generaciones</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shd w:fill="F7F1E2"/>
            <w:vAlign w:val="center"/>
          </w:tcPr>
          <w:p>
            <w:pPr>
              <w:spacing w:before="160" w:after="160"/>
            </w:pPr>
            <w:r>
              <w:rPr>
                <w:rFonts w:ascii="Aptos" w:hAnsi="Aptos"/>
                <w:b/>
                <w:i w:val="0"/>
                <w:color w:val="17365D"/>
                <w:sz w:val="22"/>
              </w:rPr>
              <w:t>Estudiar también es construir comunidad</w:t>
              <w:br/>
            </w:r>
            <w:r>
              <w:rPr>
                <w:rFonts w:ascii="Aptos" w:hAnsi="Aptos"/>
                <w:b w:val="0"/>
                <w:i w:val="0"/>
                <w:color w:val="202A35"/>
                <w:sz w:val="22"/>
              </w:rPr>
              <w:t>A cada profesional, estudiante y joven de nuestra diáspora: no permitan que la distancia, el idioma, la edad o las responsabilidades cotidianas apaguen su deseo de aprender. Cada curso completado, cada diploma alcanzado y cada conocimiento compartido abre una puerta para ustedes y para quienes vienen detrás. Continúen estudiando. Prepárense con disciplina. Conviertan su formación en servicio, liderazgo y esperanza.</w:t>
            </w:r>
          </w:p>
        </w:tc>
      </w:tr>
    </w:tbl>
    <w:p>
      <w:pPr>
        <w:spacing w:after="40"/>
      </w:pPr>
    </w:p>
    <w:p>
      <w:r>
        <w:rPr>
          <w:rFonts w:ascii="Aptos" w:hAnsi="Aptos"/>
          <w:b w:val="0"/>
          <w:i w:val="0"/>
          <w:color w:val="202A35"/>
          <w:sz w:val="22"/>
        </w:rPr>
        <w:t>La huella de la UNPHU en el área triestatal permanece en las personas que enseñaron, aprendieron y sirvieron. Recordarla no es mirar solamente al pasado: es afirmar que nuestra comunidad merece nuevas oportunidades de educación superior y que tiene la capacidad de convertirlas en bienestar colectivo.</w:t>
      </w:r>
    </w:p>
    <w:p>
      <w:pPr>
        <w:spacing w:before="360"/>
        <w:jc w:val="center"/>
      </w:pPr>
      <w:r>
        <w:rPr>
          <w:rFonts w:ascii="Aptos" w:hAnsi="Aptos"/>
          <w:b/>
          <w:i w:val="0"/>
          <w:color w:val="17365D"/>
          <w:sz w:val="22"/>
        </w:rPr>
        <w:t>ASOCIACIÓN HISPANA DE PROFESIONALES DE LA SALUD (AHPSI)</w:t>
      </w:r>
    </w:p>
    <w:p>
      <w:pPr>
        <w:jc w:val="center"/>
      </w:pPr>
      <w:r>
        <w:rPr>
          <w:rFonts w:ascii="Aptos" w:hAnsi="Aptos"/>
          <w:b/>
          <w:i w:val="0"/>
          <w:color w:val="2E74B5"/>
          <w:sz w:val="22"/>
        </w:rPr>
        <w:t>732-277-9640  •  info@ahpsi.org</w:t>
      </w:r>
    </w:p>
    <w:p>
      <w:r>
        <w:br w:type="page"/>
      </w:r>
    </w:p>
    <w:p>
      <w:pPr>
        <w:pStyle w:val="Heading1"/>
      </w:pPr>
      <w:r>
        <w:t>Fuentes y nota documental</w:t>
      </w: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rPr>
        <w:tc>
          <w:tcPr>
            <w:tcW w:type="dxa" w:w="2700"/>
            <w:shd w:fill="17365D"/>
          </w:tcPr>
          <w:p>
            <w:r>
              <w:rPr>
                <w:rFonts w:ascii="Aptos" w:hAnsi="Aptos"/>
                <w:b/>
                <w:i w:val="0"/>
                <w:color w:val="FFFFFF"/>
                <w:sz w:val="20"/>
              </w:rPr>
              <w:t>Referencia</w:t>
            </w:r>
          </w:p>
        </w:tc>
        <w:tc>
          <w:tcPr>
            <w:tcW w:type="dxa" w:w="6660"/>
            <w:shd w:fill="17365D"/>
          </w:tcPr>
          <w:p>
            <w:r>
              <w:rPr>
                <w:rFonts w:ascii="Aptos" w:hAnsi="Aptos"/>
                <w:b/>
                <w:i w:val="0"/>
                <w:color w:val="FFFFFF"/>
                <w:sz w:val="20"/>
              </w:rPr>
              <w:t>Descripción</w:t>
            </w:r>
          </w:p>
        </w:tc>
      </w:tr>
      <w:tr>
        <w:tc>
          <w:tcPr>
            <w:tcW w:type="dxa" w:w="2700"/>
            <w:vAlign w:val="top"/>
          </w:tcPr>
          <w:p>
            <w:r>
              <w:rPr>
                <w:rFonts w:ascii="Aptos" w:hAnsi="Aptos"/>
                <w:b/>
                <w:i w:val="0"/>
                <w:color w:val="17365D"/>
                <w:sz w:val="19"/>
              </w:rPr>
              <w:t>Fuente primaria</w:t>
            </w:r>
          </w:p>
        </w:tc>
        <w:tc>
          <w:tcPr>
            <w:tcW w:type="dxa" w:w="6660"/>
            <w:vAlign w:val="top"/>
          </w:tcPr>
          <w:p>
            <w:r>
              <w:rPr>
                <w:rFonts w:ascii="Aptos" w:hAnsi="Aptos"/>
                <w:b w:val="0"/>
                <w:i w:val="0"/>
                <w:color w:val="202A35"/>
                <w:sz w:val="19"/>
              </w:rPr>
              <w:t>Universidad Nacional Pedro Henríquez Ureña, folleto escaneado “Extensión UNPHU New York”, 6 páginas, documento aportado por AHPSI. Contiene requisitos, planes y nombres de programas, autoridades y datos de contacto de la época.</w:t>
            </w:r>
          </w:p>
        </w:tc>
      </w:tr>
      <w:tr>
        <w:tc>
          <w:tcPr>
            <w:tcW w:type="dxa" w:w="2700"/>
            <w:vAlign w:val="top"/>
          </w:tcPr>
          <w:p>
            <w:r>
              <w:rPr>
                <w:rFonts w:ascii="Aptos" w:hAnsi="Aptos"/>
                <w:b/>
                <w:i w:val="0"/>
                <w:color w:val="17365D"/>
                <w:sz w:val="19"/>
              </w:rPr>
              <w:t>Memoria institucional</w:t>
            </w:r>
          </w:p>
        </w:tc>
        <w:tc>
          <w:tcPr>
            <w:tcW w:type="dxa" w:w="6660"/>
            <w:vAlign w:val="top"/>
          </w:tcPr>
          <w:p>
            <w:r>
              <w:rPr>
                <w:rFonts w:ascii="Aptos" w:hAnsi="Aptos"/>
                <w:b w:val="0"/>
                <w:i w:val="0"/>
                <w:color w:val="202A35"/>
                <w:sz w:val="19"/>
              </w:rPr>
              <w:t>Información histórica proporcionada por AHPSI sobre sedes, duración aproximada, colaboradores, administración de la última etapa y cierre en 2019. Se presenta como testimonio institucional sujeto a ampliación mediante archivos, actas y entrevistas.</w:t>
            </w:r>
          </w:p>
        </w:tc>
      </w:tr>
      <w:tr>
        <w:tc>
          <w:tcPr>
            <w:tcW w:type="dxa" w:w="2700"/>
            <w:vAlign w:val="top"/>
          </w:tcPr>
          <w:p>
            <w:r>
              <w:rPr>
                <w:rFonts w:ascii="Aptos" w:hAnsi="Aptos"/>
                <w:b/>
                <w:i w:val="0"/>
                <w:color w:val="17365D"/>
                <w:sz w:val="19"/>
              </w:rPr>
              <w:t>UNPHU</w:t>
            </w:r>
          </w:p>
        </w:tc>
        <w:tc>
          <w:tcPr>
            <w:tcW w:type="dxa" w:w="6660"/>
            <w:vAlign w:val="top"/>
          </w:tcPr>
          <w:p>
            <w:r>
              <w:rPr>
                <w:rFonts w:ascii="Aptos" w:hAnsi="Aptos"/>
                <w:b w:val="0"/>
                <w:i w:val="0"/>
                <w:color w:val="202A35"/>
                <w:sz w:val="19"/>
              </w:rPr>
              <w:t>“60 Aniversario”, historia fundacional de la Universidad Nacional Pedro Henríquez Ureña: https://unphu.edu.do/60-aniversario</w:t>
            </w:r>
          </w:p>
        </w:tc>
      </w:tr>
      <w:tr>
        <w:tc>
          <w:tcPr>
            <w:tcW w:type="dxa" w:w="2700"/>
            <w:vAlign w:val="top"/>
          </w:tcPr>
          <w:p>
            <w:r>
              <w:rPr>
                <w:rFonts w:ascii="Aptos" w:hAnsi="Aptos"/>
                <w:b/>
                <w:i w:val="0"/>
                <w:color w:val="17365D"/>
                <w:sz w:val="19"/>
              </w:rPr>
              <w:t>Migration Policy Institute</w:t>
            </w:r>
          </w:p>
        </w:tc>
        <w:tc>
          <w:tcPr>
            <w:tcW w:type="dxa" w:w="6660"/>
            <w:vAlign w:val="top"/>
          </w:tcPr>
          <w:p>
            <w:r>
              <w:rPr>
                <w:rFonts w:ascii="Aptos" w:hAnsi="Aptos"/>
                <w:b w:val="0"/>
                <w:i w:val="0"/>
                <w:color w:val="202A35"/>
                <w:sz w:val="19"/>
              </w:rPr>
              <w:t>“Immigrants from the Dominican Republic in the United States” (13 de agosto de 2024), con tabulaciones de la American Community Survey 2018-2022: https://www.migrationpolicy.org/journal/spotlight/immigrants-dominican-republic-united-states</w:t>
            </w:r>
          </w:p>
        </w:tc>
      </w:tr>
    </w:tbl>
    <w:p>
      <w:r>
        <w:rPr>
          <w:rFonts w:ascii="Aptos" w:hAnsi="Aptos"/>
          <w:b w:val="0"/>
          <w:i w:val="0"/>
          <w:color w:val="202A35"/>
          <w:sz w:val="22"/>
        </w:rPr>
        <w:t>Nota editorial: Se normalizaron acentos, mayúsculas y errores evidentes de lectura del documento escaneado. Cuando el texto de un código o título de asignatura no era completamente legible, se sintetizó el área temática sin alterar el sentido general de la oferta.</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67085"/>
        <w:sz w:val="17"/>
      </w:rPr>
      <w:t>Asociación Hispana de Profesionales de la Salud  •  732-277-9640  •  info@ahpsi.org</w:t>
    </w:r>
    <w:r>
      <w:t xml:space="preserve">  •  Página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67085"/>
        <w:sz w:val="18"/>
      </w:rPr>
      <w:t>AHPSI  |  MEMORIA ACADÉMICA E INSTITUCIONAL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0" w:lineRule="auto"/>
      <w:jc w:val="both"/>
    </w:pPr>
    <w:rPr>
      <w:rFonts w:ascii="Aptos" w:hAnsi="Aptos"/>
      <w:color w:val="202A3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ptos Display" w:hAnsi="Aptos Display"/>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ptos" w:hAnsi="Aptos"/>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w:hAnsi="Aptos"/>
      <w:b/>
      <w:bCs/>
      <w:color w:val="17365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Aptos Display" w:hAnsi="Aptos Display"/>
      <w:b/>
      <w:color w:val="17365D"/>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480"/>
    </w:pPr>
    <w:rPr>
      <w:rFonts w:asciiTheme="majorHAnsi" w:eastAsiaTheme="majorEastAsia" w:hAnsiTheme="majorHAnsi" w:cstheme="majorBidi" w:ascii="Aptos" w:hAnsi="Aptos"/>
      <w:b w:val="0"/>
      <w:i/>
      <w:iCs/>
      <w:color w:val="2E74B5"/>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90" w:lineRule="auto"/>
      <w:ind w:left="540" w:hanging="279"/>
      <w:contextualSpacing/>
    </w:pPr>
    <w:rPr>
      <w:rFonts w:ascii="Aptos" w:hAnsi="Aptos"/>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huella de la UNPHU en el área triestatal: aportes y servicios a la comunidad</dc:title>
  <dc:subject>Memoria histórica de la Extensión UNPHU New York y sus programas en el área triestatal</dc:subject>
  <dc:creator>Asociación Hispana de Profesionales de la Salud (AHPSI)</dc:creator>
  <cp:keywords/>
  <dc:description>generated by python-docx</dc:description>
  <cp:lastModifiedBy/>
  <cp:revision>1</cp:revision>
  <dcterms:created xsi:type="dcterms:W3CDTF">2013-12-23T23:15:00Z</dcterms:created>
  <dcterms:modified xsi:type="dcterms:W3CDTF">2013-12-23T23:15:00Z</dcterms:modified>
  <cp:category/>
</cp:coreProperties>
</file>