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960120" cy="91211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hpsi_logo_web_120px(259)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91211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Title"/>
        <w:jc w:val="center"/>
      </w:pPr>
      <w:r>
        <w:t>15 recursos recomendados para prepararse para el NCMHCE</w:t>
      </w:r>
    </w:p>
    <w:p>
      <w:pPr>
        <w:jc w:val="center"/>
      </w:pPr>
      <w:r>
        <w:rPr>
          <w:b/>
          <w:color w:val="1F4E79"/>
          <w:sz w:val="24"/>
        </w:rPr>
        <w:t>5 libros • 5 recursos en video • 5 bancos de preguntas</w:t>
      </w:r>
    </w:p>
    <w:p>
      <w:pPr>
        <w:jc w:val="center"/>
      </w:pPr>
      <w:r>
        <w:rPr>
          <w:i/>
        </w:rPr>
        <w:t>Guía específica de la Asociación Hispana de Profesionales de la Salud, Inc. — AHPSI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4EE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b/>
                <w:color w:val="0B5D3B"/>
              </w:rPr>
              <w:t xml:space="preserve">Propósito. </w:t>
            </w:r>
            <w:r>
              <w:t>Esta selección está dirigida exclusivamente a la preparación del National Clinical Mental Health Counseling Examination (NCMHCE). No existe un único recurso suficiente: AHPSI recomienda combinar un texto de contenido, videos para comprender el razonamiento clínico y un banco de preguntas para practicar casos y decisiones profesionales.</w:t>
            </w:r>
          </w:p>
          <w:p>
            <w:r>
              <w:rPr>
                <w:b/>
              </w:rPr>
              <w:t xml:space="preserve">Antes de comprar: </w:t>
            </w:r>
            <w:r>
              <w:t>verifique que el material indique NCMHCE —no solamente NCE— y que esté alineado con el formato y el Content Outline vigente de NBCC. Precios, número de preguntas y modalidades pueden cambiar.</w:t>
            </w:r>
          </w:p>
        </w:tc>
      </w:tr>
    </w:tbl>
    <w:p>
      <w:pPr>
        <w:pStyle w:val="Heading1"/>
      </w:pPr>
      <w:r>
        <w:t>I. Cinco recomendaciones de libros y manuales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"/>
        <w:gridCol w:w="9720"/>
      </w:tblGrid>
      <w:tr>
        <w:tc>
          <w:tcPr>
            <w:tcW w:type="dxa" w:w="792"/>
            <w:vAlign w:val="center"/>
            <w:shd w:fill="0B5D3B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32"/>
              </w:rPr>
              <w:t>1</w:t>
            </w:r>
          </w:p>
        </w:tc>
        <w:tc>
          <w:tcPr>
            <w:tcW w:type="dxa" w:w="9720"/>
            <w:shd w:fill="F3F8F5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0B462F"/>
                <w:sz w:val="23"/>
              </w:rPr>
              <w:t>Clinical Mental Health Counselor Handbook &amp; Study Guide for the NCMHCE, 4th Edition</w:t>
            </w:r>
            <w:r>
              <w:rPr>
                <w:i/>
              </w:rPr>
              <w:br/>
              <w:t>Proveedor/autor: NBCC / NBCC Foundation</w:t>
            </w:r>
            <w:r>
              <w:br/>
              <w:t>Por qué se recomienda: Es el punto de partida más cercano a la estructura oficial y contiene orientación, estrategias y ejemplos revisados por especialistas.</w:t>
            </w:r>
            <w:r>
              <w:br/>
              <w:t>Cómo utilizarlo: Leer primero el esquema del examen; después resolver las muestras sin consultar respuestas y revisar cada explicación.</w:t>
            </w:r>
            <w:r>
              <w:rPr>
                <w:b/>
                <w:color w:val="915000"/>
              </w:rPr>
              <w:br/>
              <w:t>Precaución: NBCC señala que no garantiza ni endosa automáticamente todos los materiales comerciales listados en sus páginas.</w:t>
            </w:r>
            <w:r>
              <w:br/>
              <w:t xml:space="preserve">Acceso: </w:t>
            </w:r>
            <w:hyperlink r:id="rId11">
              <w:r>
                <w:rPr>
                  <w:color w:val="0563C1"/>
                  <w:u w:val="single"/>
                </w:rPr>
                <w:t>Abrir recurso</w:t>
              </w:r>
            </w:hyperlink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"/>
        <w:gridCol w:w="9720"/>
      </w:tblGrid>
      <w:tr>
        <w:tc>
          <w:tcPr>
            <w:tcW w:type="dxa" w:w="792"/>
            <w:vAlign w:val="center"/>
            <w:shd w:fill="0B5D3B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32"/>
              </w:rPr>
              <w:t>2</w:t>
            </w:r>
          </w:p>
        </w:tc>
        <w:tc>
          <w:tcPr>
            <w:tcW w:type="dxa" w:w="9720"/>
            <w:shd w:fill="F3F8F5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0B462F"/>
                <w:sz w:val="23"/>
              </w:rPr>
              <w:t>NCMHCE Secrets Study Guide 2026–2027, 2nd Edition</w:t>
            </w:r>
            <w:r>
              <w:rPr>
                <w:i/>
              </w:rPr>
              <w:br/>
              <w:t>Proveedor/autor: Mometrix Test Preparation</w:t>
            </w:r>
            <w:r>
              <w:br/>
              <w:t>Por qué se recomienda: Ofrece repaso organizado, práctica y apoyo audiovisual para quienes desean un manual integral.</w:t>
            </w:r>
            <w:r>
              <w:br/>
              <w:t>Cómo utilizarlo: Usarlo por dominios: lectura breve, resumen personal, preguntas del capítulo y registro de errores.</w:t>
            </w:r>
            <w:r>
              <w:rPr>
                <w:b/>
                <w:color w:val="915000"/>
              </w:rPr>
              <w:br/>
              <w:t>Precaución: Confirmar que la edición adquirida cubra el outline aplicable a la fecha programada del examen.</w:t>
            </w:r>
            <w:r>
              <w:br/>
              <w:t xml:space="preserve">Acceso: </w:t>
            </w:r>
            <w:hyperlink r:id="rId12">
              <w:r>
                <w:rPr>
                  <w:color w:val="0563C1"/>
                  <w:u w:val="single"/>
                </w:rPr>
                <w:t>Abrir recurso</w:t>
              </w:r>
            </w:hyperlink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"/>
        <w:gridCol w:w="9720"/>
      </w:tblGrid>
      <w:tr>
        <w:tc>
          <w:tcPr>
            <w:tcW w:type="dxa" w:w="792"/>
            <w:vAlign w:val="center"/>
            <w:shd w:fill="0B5D3B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32"/>
              </w:rPr>
              <w:t>3</w:t>
            </w:r>
          </w:p>
        </w:tc>
        <w:tc>
          <w:tcPr>
            <w:tcW w:type="dxa" w:w="9720"/>
            <w:shd w:fill="F3F8F5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0B462F"/>
                <w:sz w:val="23"/>
              </w:rPr>
              <w:t>NCMHCE Study Guide 2025–2026: Complete Review + 750 Questions</w:t>
            </w:r>
            <w:r>
              <w:rPr>
                <w:i/>
              </w:rPr>
              <w:br/>
              <w:t>Proveedor/autor: Newstone Test Prep / Mental Health Counseling Team</w:t>
            </w:r>
            <w:r>
              <w:br/>
              <w:t>Por qué se recomienda: Combina revisión temática con un volumen amplio de preguntas y exámenes completos.</w:t>
            </w:r>
            <w:r>
              <w:br/>
              <w:t>Cómo utilizarlo: Reservar los simulacros completos para la segunda mitad del estudio; no consumirlos todos al inicio.</w:t>
            </w:r>
            <w:r>
              <w:rPr>
                <w:b/>
                <w:color w:val="915000"/>
              </w:rPr>
              <w:br/>
              <w:t>Precaución: Al ser un recurso comercial, contraste diagnósticos, ética y formato con documentos oficiales.</w:t>
            </w:r>
            <w:r>
              <w:br/>
              <w:t xml:space="preserve">Acceso: </w:t>
            </w:r>
            <w:hyperlink r:id="rId13">
              <w:r>
                <w:rPr>
                  <w:color w:val="0563C1"/>
                  <w:u w:val="single"/>
                </w:rPr>
                <w:t>Abrir recurso</w:t>
              </w:r>
            </w:hyperlink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"/>
        <w:gridCol w:w="9720"/>
      </w:tblGrid>
      <w:tr>
        <w:tc>
          <w:tcPr>
            <w:tcW w:type="dxa" w:w="792"/>
            <w:vAlign w:val="center"/>
            <w:shd w:fill="0B5D3B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32"/>
              </w:rPr>
              <w:t>4</w:t>
            </w:r>
          </w:p>
        </w:tc>
        <w:tc>
          <w:tcPr>
            <w:tcW w:type="dxa" w:w="9720"/>
            <w:shd w:fill="F3F8F5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0B462F"/>
                <w:sz w:val="23"/>
              </w:rPr>
              <w:t>NCMHCE Exam Prep 2026–2027: A Complete Study Guide for Clinical Mental Health Counselors</w:t>
            </w:r>
            <w:r>
              <w:rPr>
                <w:i/>
              </w:rPr>
              <w:br/>
              <w:t>Proveedor/autor: Brown Moses</w:t>
            </w:r>
            <w:r>
              <w:br/>
              <w:t>Por qué se recomienda: Puede servir como segunda explicación de los dominios y como fuente adicional de práctica estructurada.</w:t>
            </w:r>
            <w:r>
              <w:br/>
              <w:t>Cómo utilizarlo: Utilizarlo para reforzar temas débiles identificados en el banco principal, no como única fuente.</w:t>
            </w:r>
            <w:r>
              <w:rPr>
                <w:b/>
                <w:color w:val="915000"/>
              </w:rPr>
              <w:br/>
              <w:t>Precaución: Revise índice, muestra y credenciales editoriales antes de comprar.</w:t>
            </w:r>
            <w:r>
              <w:br/>
              <w:t xml:space="preserve">Acceso: </w:t>
            </w:r>
            <w:hyperlink r:id="rId14">
              <w:r>
                <w:rPr>
                  <w:color w:val="0563C1"/>
                  <w:u w:val="single"/>
                </w:rPr>
                <w:t>Abrir recurso</w:t>
              </w:r>
            </w:hyperlink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"/>
        <w:gridCol w:w="9720"/>
      </w:tblGrid>
      <w:tr>
        <w:tc>
          <w:tcPr>
            <w:tcW w:type="dxa" w:w="792"/>
            <w:vAlign w:val="center"/>
            <w:shd w:fill="0B5D3B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32"/>
              </w:rPr>
              <w:t>5</w:t>
            </w:r>
          </w:p>
        </w:tc>
        <w:tc>
          <w:tcPr>
            <w:tcW w:type="dxa" w:w="9720"/>
            <w:shd w:fill="F3F8F5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0B462F"/>
                <w:sz w:val="23"/>
              </w:rPr>
              <w:t>DSM-5-TR / Desk Reference to the Diagnostic Criteria from DSM-5-TR</w:t>
            </w:r>
            <w:r>
              <w:rPr>
                <w:i/>
              </w:rPr>
              <w:br/>
              <w:t>Proveedor/autor: American Psychiatric Association</w:t>
            </w:r>
            <w:r>
              <w:br/>
              <w:t>Por qué se recomienda: Es la referencia clínica básica para criterios diagnósticos, diagnóstico diferencial y códigos actualizados; fortalece el análisis de casos.</w:t>
            </w:r>
            <w:r>
              <w:br/>
              <w:t>Cómo utilizarlo: Crear tablas comparativas de trastornos similares: duración, exclusiones, especificadores, comorbilidades y señales de riesgo.</w:t>
            </w:r>
            <w:r>
              <w:rPr>
                <w:b/>
                <w:color w:val="915000"/>
              </w:rPr>
              <w:br/>
              <w:t>Precaución: No es una guía del examen ni debe memorizarse completa; úselo para confirmar criterios y razonamiento diagnóstico.</w:t>
            </w:r>
            <w:r>
              <w:br/>
              <w:t xml:space="preserve">Acceso: </w:t>
            </w:r>
            <w:hyperlink r:id="rId15">
              <w:r>
                <w:rPr>
                  <w:color w:val="0563C1"/>
                  <w:u w:val="single"/>
                </w:rPr>
                <w:t>Abrir recurso</w:t>
              </w:r>
            </w:hyperlink>
          </w:p>
        </w:tc>
      </w:tr>
    </w:tbl>
    <w:p>
      <w:pPr>
        <w:spacing w:after="20"/>
      </w:pPr>
    </w:p>
    <w:p>
      <w:pPr>
        <w:pStyle w:val="Heading1"/>
      </w:pPr>
      <w:r>
        <w:t>II. Cinco recomendaciones de videos y cursos audiovisuales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"/>
        <w:gridCol w:w="9720"/>
      </w:tblGrid>
      <w:tr>
        <w:tc>
          <w:tcPr>
            <w:tcW w:type="dxa" w:w="792"/>
            <w:vAlign w:val="center"/>
            <w:shd w:fill="0B5D3B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32"/>
              </w:rPr>
              <w:t>1</w:t>
            </w:r>
          </w:p>
        </w:tc>
        <w:tc>
          <w:tcPr>
            <w:tcW w:type="dxa" w:w="9720"/>
            <w:shd w:fill="F3F8F5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0B462F"/>
                <w:sz w:val="23"/>
              </w:rPr>
              <w:t>NCMHCE Exam Overview</w:t>
            </w:r>
            <w:r>
              <w:rPr>
                <w:i/>
              </w:rPr>
              <w:br/>
              <w:t>Proveedor/autor: Mometrix Academy</w:t>
            </w:r>
            <w:r>
              <w:br/>
              <w:t>Por qué se recomienda: Introduce formato, expectativas, puntuación y estrategia general en un video breve y accesible.</w:t>
            </w:r>
            <w:r>
              <w:br/>
              <w:t>Cómo utilizarlo: Verlo al comenzar y repetirlo una semana antes del simulacro final para comprobar que la estrategia sigue clara.</w:t>
            </w:r>
            <w:r>
              <w:rPr>
                <w:b/>
                <w:color w:val="915000"/>
              </w:rPr>
              <w:br/>
              <w:t>Precaución: El video es una orientación comercial; el Candidate Handbook de NBCC prevalece ante cualquier diferencia.</w:t>
            </w:r>
            <w:r>
              <w:br/>
              <w:t xml:space="preserve">Acceso: </w:t>
            </w:r>
            <w:hyperlink r:id="rId16">
              <w:r>
                <w:rPr>
                  <w:color w:val="0563C1"/>
                  <w:u w:val="single"/>
                </w:rPr>
                <w:t>Abrir recurso</w:t>
              </w:r>
            </w:hyperlink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"/>
        <w:gridCol w:w="9720"/>
      </w:tblGrid>
      <w:tr>
        <w:tc>
          <w:tcPr>
            <w:tcW w:type="dxa" w:w="792"/>
            <w:vAlign w:val="center"/>
            <w:shd w:fill="0B5D3B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32"/>
              </w:rPr>
              <w:t>2</w:t>
            </w:r>
          </w:p>
        </w:tc>
        <w:tc>
          <w:tcPr>
            <w:tcW w:type="dxa" w:w="9720"/>
            <w:shd w:fill="F3F8F5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0B462F"/>
                <w:sz w:val="23"/>
              </w:rPr>
              <w:t>NCMHCE Exam Review: Assessment, Part 1</w:t>
            </w:r>
            <w:r>
              <w:rPr>
                <w:i/>
              </w:rPr>
              <w:br/>
              <w:t>Proveedor/autor: CounselingExam.com</w:t>
            </w:r>
            <w:r>
              <w:br/>
              <w:t>Por qué se recomienda: Repasa elementos clínicos de evaluación, presentación emocional y conductual, historia familiar y factores culturales.</w:t>
            </w:r>
            <w:r>
              <w:br/>
              <w:t>Cómo utilizarlo: Tomar apuntes en formato de caso: dato clínico → hipótesis → pregunta que falta → decisión segura.</w:t>
            </w:r>
            <w:r>
              <w:rPr>
                <w:b/>
                <w:color w:val="915000"/>
              </w:rPr>
              <w:br/>
              <w:t>Precaución: Compruebe que los videos posteriores correspondan al formato actual del examen.</w:t>
            </w:r>
            <w:r>
              <w:br/>
              <w:t xml:space="preserve">Acceso: </w:t>
            </w:r>
            <w:hyperlink r:id="rId17">
              <w:r>
                <w:rPr>
                  <w:color w:val="0563C1"/>
                  <w:u w:val="single"/>
                </w:rPr>
                <w:t>Abrir recurso</w:t>
              </w:r>
            </w:hyperlink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"/>
        <w:gridCol w:w="9720"/>
      </w:tblGrid>
      <w:tr>
        <w:tc>
          <w:tcPr>
            <w:tcW w:type="dxa" w:w="792"/>
            <w:vAlign w:val="center"/>
            <w:shd w:fill="0B5D3B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32"/>
              </w:rPr>
              <w:t>3</w:t>
            </w:r>
          </w:p>
        </w:tc>
        <w:tc>
          <w:tcPr>
            <w:tcW w:type="dxa" w:w="9720"/>
            <w:shd w:fill="F3F8F5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0B462F"/>
                <w:sz w:val="23"/>
              </w:rPr>
              <w:t>NCMHCE Video Review Course</w:t>
            </w:r>
            <w:r>
              <w:rPr>
                <w:i/>
              </w:rPr>
              <w:br/>
              <w:t>Proveedor/autor: Mometrix University</w:t>
            </w:r>
            <w:r>
              <w:br/>
              <w:t>Por qué se recomienda: Incluye más de tres horas de revisión audiovisual, lecciones y cuestionarios integrados.</w:t>
            </w:r>
            <w:r>
              <w:br/>
              <w:t>Cómo utilizarlo: Estudiar en bloques de 20–30 minutos y contestar el cuestionario inmediatamente después de cada lección.</w:t>
            </w:r>
            <w:r>
              <w:rPr>
                <w:b/>
                <w:color w:val="915000"/>
              </w:rPr>
              <w:br/>
              <w:t>Precaución: Requiere suscripción; revise el periodo de acceso y política de renovación.</w:t>
            </w:r>
            <w:r>
              <w:br/>
              <w:t xml:space="preserve">Acceso: </w:t>
            </w:r>
            <w:hyperlink r:id="rId18">
              <w:r>
                <w:rPr>
                  <w:color w:val="0563C1"/>
                  <w:u w:val="single"/>
                </w:rPr>
                <w:t>Abrir recurso</w:t>
              </w:r>
            </w:hyperlink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"/>
        <w:gridCol w:w="9720"/>
      </w:tblGrid>
      <w:tr>
        <w:tc>
          <w:tcPr>
            <w:tcW w:type="dxa" w:w="792"/>
            <w:vAlign w:val="center"/>
            <w:shd w:fill="0B5D3B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32"/>
              </w:rPr>
              <w:t>4</w:t>
            </w:r>
          </w:p>
        </w:tc>
        <w:tc>
          <w:tcPr>
            <w:tcW w:type="dxa" w:w="9720"/>
            <w:shd w:fill="F3F8F5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0B462F"/>
                <w:sz w:val="23"/>
              </w:rPr>
              <w:t>Complete NCMHCE Study Program: Video Workshop</w:t>
            </w:r>
            <w:r>
              <w:rPr>
                <w:i/>
              </w:rPr>
              <w:br/>
              <w:t>Proveedor/autor: Clinical Exam Workshop</w:t>
            </w:r>
            <w:r>
              <w:br/>
              <w:t>Por qué se recomienda: Ofrece explicación del formato, razonamiento de casos y revisión guiada de simulaciones.</w:t>
            </w:r>
            <w:r>
              <w:br/>
              <w:t>Cómo utilizarlo: Ver primero las lecciones de estructura y ética; luego alternar un video con una simulación, registrando por qué cada distractor es incorrecto.</w:t>
            </w:r>
            <w:r>
              <w:rPr>
                <w:b/>
                <w:color w:val="915000"/>
              </w:rPr>
              <w:br/>
              <w:t>Precaución: Es un proveedor independiente y declara no estar afiliado ni respaldado por NBCC.</w:t>
            </w:r>
            <w:r>
              <w:br/>
              <w:t xml:space="preserve">Acceso: </w:t>
            </w:r>
            <w:hyperlink r:id="rId19">
              <w:r>
                <w:rPr>
                  <w:color w:val="0563C1"/>
                  <w:u w:val="single"/>
                </w:rPr>
                <w:t>Abrir recurso</w:t>
              </w:r>
            </w:hyperlink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"/>
        <w:gridCol w:w="9720"/>
      </w:tblGrid>
      <w:tr>
        <w:tc>
          <w:tcPr>
            <w:tcW w:type="dxa" w:w="792"/>
            <w:vAlign w:val="center"/>
            <w:shd w:fill="0B5D3B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32"/>
              </w:rPr>
              <w:t>5</w:t>
            </w:r>
          </w:p>
        </w:tc>
        <w:tc>
          <w:tcPr>
            <w:tcW w:type="dxa" w:w="9720"/>
            <w:shd w:fill="F3F8F5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0B462F"/>
                <w:sz w:val="23"/>
              </w:rPr>
              <w:t>NCMHCE Exam 2026: 25 Challenging Scenario-Based Questions</w:t>
            </w:r>
            <w:r>
              <w:rPr>
                <w:i/>
              </w:rPr>
              <w:br/>
              <w:t>Proveedor/autor: Test Prep Central</w:t>
            </w:r>
            <w:r>
              <w:br/>
              <w:t>Por qué se recomienda: Permite observar cómo se analizan preguntas de escenario y explicaciones de respuesta.</w:t>
            </w:r>
            <w:r>
              <w:br/>
              <w:t>Cómo utilizarlo: Pausar antes de cada respuesta, elegir una opción, justificarla por escrito y solo entonces escuchar la explicación.</w:t>
            </w:r>
            <w:r>
              <w:rPr>
                <w:b/>
                <w:color w:val="915000"/>
              </w:rPr>
              <w:br/>
              <w:t>Precaución: Úselo como práctica complementaria, no para determinar por sí solo el contenido oficial.</w:t>
            </w:r>
            <w:r>
              <w:br/>
              <w:t xml:space="preserve">Acceso: </w:t>
            </w:r>
            <w:hyperlink r:id="rId20">
              <w:r>
                <w:rPr>
                  <w:color w:val="0563C1"/>
                  <w:u w:val="single"/>
                </w:rPr>
                <w:t>Abrir recurso</w:t>
              </w:r>
            </w:hyperlink>
          </w:p>
        </w:tc>
      </w:tr>
    </w:tbl>
    <w:p>
      <w:pPr>
        <w:spacing w:after="20"/>
      </w:pPr>
    </w:p>
    <w:p>
      <w:pPr>
        <w:pStyle w:val="Heading1"/>
      </w:pPr>
      <w:r>
        <w:t>III. Cinco recomendaciones de bancos de preguntas y simulaciones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"/>
        <w:gridCol w:w="9720"/>
      </w:tblGrid>
      <w:tr>
        <w:tc>
          <w:tcPr>
            <w:tcW w:type="dxa" w:w="792"/>
            <w:vAlign w:val="center"/>
            <w:shd w:fill="0B5D3B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32"/>
              </w:rPr>
              <w:t>1</w:t>
            </w:r>
          </w:p>
        </w:tc>
        <w:tc>
          <w:tcPr>
            <w:tcW w:type="dxa" w:w="9720"/>
            <w:shd w:fill="F3F8F5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0B462F"/>
                <w:sz w:val="23"/>
              </w:rPr>
              <w:t>Guía oficial de preparación y preguntas de muestra</w:t>
            </w:r>
            <w:r>
              <w:rPr>
                <w:i/>
              </w:rPr>
              <w:br/>
              <w:t>Proveedor/autor: NBCC / NBCC Foundation</w:t>
            </w:r>
            <w:r>
              <w:br/>
              <w:t>Por qué se recomienda: Es la referencia inicial para familiarizarse con el estilo oficial y con explicaciones elaboradas por expertos de contenido.</w:t>
            </w:r>
            <w:r>
              <w:br/>
              <w:t>Cómo utilizarlo: Realizar la muestra en condiciones controladas y convertir cada error en una regla clínica o ética de una línea.</w:t>
            </w:r>
            <w:r>
              <w:rPr>
                <w:b/>
                <w:color w:val="915000"/>
              </w:rPr>
              <w:br/>
              <w:t>Precaución: El número de preguntas es limitado; debe combinarse con un banco comercial más amplio.</w:t>
            </w:r>
            <w:r>
              <w:br/>
              <w:t xml:space="preserve">Acceso: </w:t>
            </w:r>
            <w:hyperlink r:id="rId11">
              <w:r>
                <w:rPr>
                  <w:color w:val="0563C1"/>
                  <w:u w:val="single"/>
                </w:rPr>
                <w:t>Abrir recurso</w:t>
              </w:r>
            </w:hyperlink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"/>
        <w:gridCol w:w="9720"/>
      </w:tblGrid>
      <w:tr>
        <w:tc>
          <w:tcPr>
            <w:tcW w:type="dxa" w:w="792"/>
            <w:vAlign w:val="center"/>
            <w:shd w:fill="0B5D3B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32"/>
              </w:rPr>
              <w:t>2</w:t>
            </w:r>
          </w:p>
        </w:tc>
        <w:tc>
          <w:tcPr>
            <w:tcW w:type="dxa" w:w="9720"/>
            <w:shd w:fill="F3F8F5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0B462F"/>
                <w:sz w:val="23"/>
              </w:rPr>
              <w:t>Behavioral Health Pocket Prep — NBCC NCMHCE</w:t>
            </w:r>
            <w:r>
              <w:rPr>
                <w:i/>
              </w:rPr>
              <w:br/>
              <w:t>Proveedor/autor: Pocket Prep</w:t>
            </w:r>
            <w:r>
              <w:br/>
              <w:t>Por qué se recomienda: Ofrece práctica móvil y web, explicaciones, análisis por dominio, preguntas falladas y simulacros.</w:t>
            </w:r>
            <w:r>
              <w:br/>
              <w:t>Cómo utilizarlo: Responder 20–30 preguntas diarias y repetir semanalmente el modo “weakest subject” o preguntas falladas.</w:t>
            </w:r>
            <w:r>
              <w:rPr>
                <w:b/>
                <w:color w:val="915000"/>
              </w:rPr>
              <w:br/>
              <w:t>Precaución: No convierta el porcentaje de la aplicación en una garantía de aprobación real.</w:t>
            </w:r>
            <w:r>
              <w:br/>
              <w:t xml:space="preserve">Acceso: </w:t>
            </w:r>
            <w:hyperlink r:id="rId21">
              <w:r>
                <w:rPr>
                  <w:color w:val="0563C1"/>
                  <w:u w:val="single"/>
                </w:rPr>
                <w:t>Abrir recurso</w:t>
              </w:r>
            </w:hyperlink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"/>
        <w:gridCol w:w="9720"/>
      </w:tblGrid>
      <w:tr>
        <w:tc>
          <w:tcPr>
            <w:tcW w:type="dxa" w:w="792"/>
            <w:vAlign w:val="center"/>
            <w:shd w:fill="0B5D3B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32"/>
              </w:rPr>
              <w:t>3</w:t>
            </w:r>
          </w:p>
        </w:tc>
        <w:tc>
          <w:tcPr>
            <w:tcW w:type="dxa" w:w="9720"/>
            <w:shd w:fill="F3F8F5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0B462F"/>
                <w:sz w:val="23"/>
              </w:rPr>
              <w:t>NCMHCE Online Prep Course and Practice Tests</w:t>
            </w:r>
            <w:r>
              <w:rPr>
                <w:i/>
              </w:rPr>
              <w:br/>
              <w:t>Proveedor/autor: Mometrix University</w:t>
            </w:r>
            <w:r>
              <w:br/>
              <w:t>Por qué se recomienda: Integra cientos de preguntas, pruebas de práctica, videos y seguimiento del progreso.</w:t>
            </w:r>
            <w:r>
              <w:br/>
              <w:t>Cómo utilizarlo: Después de cada prueba, clasificar errores en: conocimiento, lectura del caso, ética, diagnóstico o manejo del tiempo.</w:t>
            </w:r>
            <w:r>
              <w:rPr>
                <w:b/>
                <w:color w:val="915000"/>
              </w:rPr>
              <w:br/>
              <w:t>Precaución: Evite memorizar respuestas; explique en voz alta el razonamiento clínico.</w:t>
            </w:r>
            <w:r>
              <w:br/>
              <w:t xml:space="preserve">Acceso: </w:t>
            </w:r>
            <w:hyperlink r:id="rId18">
              <w:r>
                <w:rPr>
                  <w:color w:val="0563C1"/>
                  <w:u w:val="single"/>
                </w:rPr>
                <w:t>Abrir recurso</w:t>
              </w:r>
            </w:hyperlink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"/>
        <w:gridCol w:w="9720"/>
      </w:tblGrid>
      <w:tr>
        <w:tc>
          <w:tcPr>
            <w:tcW w:type="dxa" w:w="792"/>
            <w:vAlign w:val="center"/>
            <w:shd w:fill="0B5D3B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32"/>
              </w:rPr>
              <w:t>4</w:t>
            </w:r>
          </w:p>
        </w:tc>
        <w:tc>
          <w:tcPr>
            <w:tcW w:type="dxa" w:w="9720"/>
            <w:shd w:fill="F3F8F5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0B462F"/>
                <w:sz w:val="23"/>
              </w:rPr>
              <w:t>CounselingExam.com Narrative Exams and Question Bank</w:t>
            </w:r>
            <w:r>
              <w:rPr>
                <w:i/>
              </w:rPr>
              <w:br/>
              <w:t>Proveedor/autor: CounselingExam.com / Dr. Linton</w:t>
            </w:r>
            <w:r>
              <w:br/>
              <w:t>Por qué se recomienda: Incluye casos narrativos, preguntas por contenido, diagnóstico, flashcards y exámenes para práctica intensiva.</w:t>
            </w:r>
            <w:r>
              <w:br/>
              <w:t>Cómo utilizarlo: Usar primero el diagnóstico inicial para identificar áreas débiles; luego completar casos completos sin interrupciones.</w:t>
            </w:r>
            <w:r>
              <w:rPr>
                <w:b/>
                <w:color w:val="915000"/>
              </w:rPr>
              <w:br/>
              <w:t>Precaución: Es un recurso independiente; compare cualquier punto dudoso con NBCC, DSM-5-TR y códigos éticos aplicables.</w:t>
            </w:r>
            <w:r>
              <w:br/>
              <w:t xml:space="preserve">Acceso: </w:t>
            </w:r>
            <w:hyperlink r:id="rId22">
              <w:r>
                <w:rPr>
                  <w:color w:val="0563C1"/>
                  <w:u w:val="single"/>
                </w:rPr>
                <w:t>Abrir recurso</w:t>
              </w:r>
            </w:hyperlink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"/>
        <w:gridCol w:w="9720"/>
      </w:tblGrid>
      <w:tr>
        <w:tc>
          <w:tcPr>
            <w:tcW w:type="dxa" w:w="792"/>
            <w:vAlign w:val="center"/>
            <w:shd w:fill="0B5D3B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32"/>
              </w:rPr>
              <w:t>5</w:t>
            </w:r>
          </w:p>
        </w:tc>
        <w:tc>
          <w:tcPr>
            <w:tcW w:type="dxa" w:w="9720"/>
            <w:shd w:fill="F3F8F5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0B462F"/>
                <w:sz w:val="23"/>
              </w:rPr>
              <w:t>Clinical Exam Workshop Practice Simulations</w:t>
            </w:r>
            <w:r>
              <w:rPr>
                <w:i/>
              </w:rPr>
              <w:br/>
              <w:t>Proveedor/autor: Clinical Exam Workshop</w:t>
            </w:r>
            <w:r>
              <w:br/>
              <w:t>Por qué se recomienda: Incluye simulaciones extensas y exámenes completos con explicaciones detalladas, útiles para resistencia y toma de decisiones.</w:t>
            </w:r>
            <w:r>
              <w:br/>
              <w:t>Cómo utilizarlo: Programar al menos dos simulacros completos de 225 minutos y revisar las explicaciones al día siguiente, no inmediatamente por cansancio.</w:t>
            </w:r>
            <w:r>
              <w:rPr>
                <w:b/>
                <w:color w:val="915000"/>
              </w:rPr>
              <w:br/>
              <w:t>Precaución: Las simulaciones imitan el estilo, pero ninguna empresa posee las preguntas reales del examen.</w:t>
            </w:r>
            <w:r>
              <w:br/>
              <w:t xml:space="preserve">Acceso: </w:t>
            </w:r>
            <w:hyperlink r:id="rId23">
              <w:r>
                <w:rPr>
                  <w:color w:val="0563C1"/>
                  <w:u w:val="single"/>
                </w:rPr>
                <w:t>Abrir recurso</w:t>
              </w:r>
            </w:hyperlink>
          </w:p>
        </w:tc>
      </w:tr>
    </w:tbl>
    <w:p>
      <w:pPr>
        <w:spacing w:after="20"/>
      </w:pPr>
    </w:p>
    <w:p>
      <w:pPr>
        <w:pStyle w:val="Heading1"/>
      </w:pPr>
      <w:r>
        <w:t>Combinación práctica recomendada por AHPSI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D9EAD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</w:rPr>
              <w:t>Base oficial</w:t>
            </w:r>
          </w:p>
        </w:tc>
        <w:tc>
          <w:tcPr>
            <w:tcW w:type="dxa" w:w="5184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Candidate Handbook + Content Outline + guía/preguntas de NBCC.</w:t>
            </w:r>
          </w:p>
        </w:tc>
      </w:tr>
      <w:tr>
        <w:tc>
          <w:tcPr>
            <w:tcW w:type="dxa" w:w="5184"/>
            <w:shd w:fill="D9EAD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</w:rPr>
              <w:t>Libro principal</w:t>
            </w:r>
          </w:p>
        </w:tc>
        <w:tc>
          <w:tcPr>
            <w:tcW w:type="dxa" w:w="5184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Elegir solo uno de los manuales integrales y usar DSM-5-TR como referencia.</w:t>
            </w:r>
          </w:p>
        </w:tc>
      </w:tr>
      <w:tr>
        <w:tc>
          <w:tcPr>
            <w:tcW w:type="dxa" w:w="5184"/>
            <w:shd w:fill="D9EAD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</w:rPr>
              <w:t>Apoyo visual</w:t>
            </w:r>
          </w:p>
        </w:tc>
        <w:tc>
          <w:tcPr>
            <w:tcW w:type="dxa" w:w="5184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Seleccionar una serie de videos y tomar notas clínicas activas.</w:t>
            </w:r>
          </w:p>
        </w:tc>
      </w:tr>
      <w:tr>
        <w:tc>
          <w:tcPr>
            <w:tcW w:type="dxa" w:w="5184"/>
            <w:shd w:fill="D9EAD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</w:rPr>
              <w:t>Práctica</w:t>
            </w:r>
          </w:p>
        </w:tc>
        <w:tc>
          <w:tcPr>
            <w:tcW w:type="dxa" w:w="5184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Usar un banco diario y completar, como mínimo, dos simulacros cronometrados.</w:t>
            </w:r>
          </w:p>
        </w:tc>
      </w:tr>
    </w:tbl>
    <w:p>
      <w:pPr>
        <w:jc w:val="center"/>
      </w:pPr>
      <w:r>
        <w:rPr>
          <w:b/>
          <w:color w:val="0B5D3B"/>
          <w:sz w:val="24"/>
        </w:rPr>
        <w:t>Mensaje final</w:t>
      </w:r>
    </w:p>
    <w:p>
      <w:pPr>
        <w:jc w:val="both"/>
      </w:pPr>
      <w:r>
        <w:t>AHPSI exhorta a nuestros profesionales de la salud mental formados en el extranjero a prepararse con método, disciplina y confianza. Su experiencia clínica previa es una fortaleza; al combinarla con el lenguaje profesional, la ética y el formato de evaluación utilizado en Estados Unidos, podrán avanzar con mayor seguridad hacia esta importante meta profesional.</w:t>
      </w:r>
    </w:p>
    <w:p>
      <w:pPr>
        <w:jc w:val="center"/>
      </w:pPr>
      <w:r>
        <w:rPr>
          <w:b/>
          <w:color w:val="0B5D3B"/>
        </w:rPr>
        <w:t>Asociación Hispana de Profesionales de la Salud, Inc. — AHPSI</w:t>
      </w:r>
      <w:r>
        <w:br/>
        <w:t>732-277-9640  |  info@ahpsi.org</w:t>
      </w:r>
    </w:p>
    <w:p>
      <w:pPr>
        <w:jc w:val="center"/>
      </w:pPr>
      <w:r>
        <w:rPr>
          <w:i/>
          <w:color w:val="646464"/>
          <w:sz w:val="16"/>
        </w:rPr>
        <w:t>Documento informativo. AHPSI no recibe compensación por estas menciones y no garantiza resultados. Verificado en agosto de 2026; confirme siempre el formato vigente y las políticas oficiales antes de comprar o registrarse.</w:t>
      </w:r>
    </w:p>
    <w:sectPr w:rsidR="00FC693F" w:rsidRPr="0006063C" w:rsidSect="00034616">
      <w:headerReference w:type="default" r:id="rId9"/>
      <w:footerReference w:type="default" r:id="rId24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E6E6E"/>
        <w:sz w:val="16"/>
      </w:rPr>
      <w:t>AHPSI • Guía de preparación para el NCMHCE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b/>
        <w:color w:val="5A5A5A"/>
        <w:sz w:val="17"/>
      </w:rPr>
      <w:t>AHPSI | Orientación profesional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B5D3B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1F4E79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B5D3B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image" Target="media/image1.png"/><Relationship Id="rId11" Type="http://schemas.openxmlformats.org/officeDocument/2006/relationships/hyperlink" Target="https://community.nbcc.org/exams/examprep" TargetMode="External"/><Relationship Id="rId12" Type="http://schemas.openxmlformats.org/officeDocument/2006/relationships/hyperlink" Target="https://store.mometrix.com/products/ncmhce-31718ebook" TargetMode="External"/><Relationship Id="rId13" Type="http://schemas.openxmlformats.org/officeDocument/2006/relationships/hyperlink" Target="https://www.allbookstores.com/NCMHCE-Study-Guide-2025-2026/9781998805471" TargetMode="External"/><Relationship Id="rId14" Type="http://schemas.openxmlformats.org/officeDocument/2006/relationships/hyperlink" Target="https://books.google.com/books/about/NCMHCE_Exam_Prep_2026_2027.html?id=2QvdEQAAQBAJ" TargetMode="External"/><Relationship Id="rId15" Type="http://schemas.openxmlformats.org/officeDocument/2006/relationships/hyperlink" Target="https://www.psychiatry.org/psychiatrists/practice/dsm" TargetMode="External"/><Relationship Id="rId16" Type="http://schemas.openxmlformats.org/officeDocument/2006/relationships/hyperlink" Target="https://www.youtube.com/watch?v=IowwD4fbqsI" TargetMode="External"/><Relationship Id="rId17" Type="http://schemas.openxmlformats.org/officeDocument/2006/relationships/hyperlink" Target="https://www.youtube.com/watch?v=XMbrKY4rJPw" TargetMode="External"/><Relationship Id="rId18" Type="http://schemas.openxmlformats.org/officeDocument/2006/relationships/hyperlink" Target="https://www.mometrix.com/university/ncmhce/" TargetMode="External"/><Relationship Id="rId19" Type="http://schemas.openxmlformats.org/officeDocument/2006/relationships/hyperlink" Target="https://www.clinicalexamworkshop.com/home" TargetMode="External"/><Relationship Id="rId20" Type="http://schemas.openxmlformats.org/officeDocument/2006/relationships/hyperlink" Target="https://www.youtube.com/watch?v=Jh2ywaeINiU" TargetMode="External"/><Relationship Id="rId21" Type="http://schemas.openxmlformats.org/officeDocument/2006/relationships/hyperlink" Target="https://www.pocketprep.com/exams/nbcc-ncmhce/" TargetMode="External"/><Relationship Id="rId22" Type="http://schemas.openxmlformats.org/officeDocument/2006/relationships/hyperlink" Target="https://counselingexam.com/" TargetMode="External"/><Relationship Id="rId23" Type="http://schemas.openxmlformats.org/officeDocument/2006/relationships/hyperlink" Target="https://www.clinicalexamworkshop.com/ncmhce-practice-exam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 recursos recomendados para prepararse para el NCMHCE</dc:title>
  <dc:subject>5 libros, 5 videos y 5 bancos de preguntas</dc:subject>
  <dc:creator>Asociación Hispana de Profesionales de la Salud, Inc. — AHPSI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