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656"/>
        <w:gridCol w:w="9936"/>
      </w:tblGrid>
      <w:tr>
        <w:tc>
          <w:tcPr>
            <w:tcW w:type="dxa" w:w="1656"/>
            <w:vAlign w:val="center"/>
            <w:tcMar>
              <w:top w:w="30" w:type="dxa"/>
              <w:start w:w="30" w:type="dxa"/>
              <w:bottom w:w="30" w:type="dxa"/>
              <w:end w:w="30" w:type="dxa"/>
            </w:tcMar>
            <w:shd w:fill="F5F9FC"/>
          </w:tcPr>
          <w:p>
            <w:pPr>
              <w:jc w:val="center"/>
            </w:pPr>
            <w:r>
              <w:drawing>
                <wp:inline xmlns:a="http://schemas.openxmlformats.org/drawingml/2006/main" xmlns:pic="http://schemas.openxmlformats.org/drawingml/2006/picture">
                  <wp:extent cx="841248" cy="799186"/>
                  <wp:docPr id="1" name="Picture 1"/>
                  <wp:cNvGraphicFramePr>
                    <a:graphicFrameLocks noChangeAspect="1"/>
                  </wp:cNvGraphicFramePr>
                  <a:graphic>
                    <a:graphicData uri="http://schemas.openxmlformats.org/drawingml/2006/picture">
                      <pic:pic>
                        <pic:nvPicPr>
                          <pic:cNvPr id="0" name="ahpsi_logo_web_120px(255).png"/>
                          <pic:cNvPicPr/>
                        </pic:nvPicPr>
                        <pic:blipFill>
                          <a:blip r:embed="rId9"/>
                          <a:stretch>
                            <a:fillRect/>
                          </a:stretch>
                        </pic:blipFill>
                        <pic:spPr>
                          <a:xfrm>
                            <a:off x="0" y="0"/>
                            <a:ext cx="841248" cy="799186"/>
                          </a:xfrm>
                          <a:prstGeom prst="rect"/>
                        </pic:spPr>
                      </pic:pic>
                    </a:graphicData>
                  </a:graphic>
                </wp:inline>
              </w:drawing>
            </w:r>
          </w:p>
        </w:tc>
        <w:tc>
          <w:tcPr>
            <w:tcW w:type="dxa" w:w="9936"/>
            <w:shd w:fill="F5F9FC"/>
          </w:tcPr>
          <w:p>
            <w:pPr>
              <w:spacing w:after="20"/>
              <w:jc w:val="center"/>
            </w:pPr>
            <w:r/>
            <w:r>
              <w:rPr>
                <w:rFonts w:ascii="Aptos Display" w:hAnsi="Aptos Display"/>
                <w:b/>
                <w:color w:val="17365D"/>
                <w:sz w:val="26"/>
              </w:rPr>
              <w:t>ASOCIACIÓN HISPANA DE PROFESIONALES DE LA SALUD, INC. (AHPSI)</w:t>
            </w:r>
          </w:p>
          <w:p>
            <w:pPr>
              <w:spacing w:after="0"/>
              <w:jc w:val="center"/>
            </w:pPr>
            <w:r>
              <w:rPr>
                <w:rFonts w:ascii="Aptos" w:hAnsi="Aptos"/>
                <w:color w:val="1F4E78"/>
                <w:sz w:val="21"/>
              </w:rPr>
              <w:t>y organizaciones coordinadoras de la XIII Feria Anual de Salud Comunitaria</w:t>
            </w:r>
          </w:p>
        </w:tc>
      </w:tr>
    </w:tbl>
    <w:p>
      <w:pPr>
        <w:spacing w:after="0"/>
      </w:pPr>
    </w:p>
    <w:p>
      <w:pPr>
        <w:spacing w:after="40"/>
        <w:jc w:val="center"/>
      </w:pPr>
      <w:r>
        <w:rPr>
          <w:rFonts w:ascii="Aptos Display" w:hAnsi="Aptos Display"/>
          <w:b/>
          <w:color w:val="17365D"/>
          <w:sz w:val="38"/>
        </w:rPr>
        <w:t>INFORME PRELIMINAR DE SERVICIOS OFRECIDOS</w:t>
      </w:r>
    </w:p>
    <w:p>
      <w:pPr>
        <w:spacing w:after="40"/>
        <w:jc w:val="center"/>
      </w:pPr>
      <w:r>
        <w:rPr>
          <w:rFonts w:ascii="Aptos Display" w:hAnsi="Aptos Display"/>
          <w:b/>
          <w:color w:val="C99A2E"/>
          <w:sz w:val="28"/>
        </w:rPr>
        <w:t>XIII Feria Anual de Salud Comunitaria “Decida ser Saludable”</w:t>
      </w:r>
    </w:p>
    <w:p>
      <w:pPr>
        <w:spacing w:after="160"/>
        <w:jc w:val="center"/>
      </w:pPr>
      <w:r>
        <w:rPr>
          <w:color w:val="666666"/>
          <w:sz w:val="21"/>
        </w:rPr>
        <w:t>Elizabeth, New Jersey | Domingo 26 de julio de 2026</w:t>
      </w:r>
    </w:p>
    <w:tbl>
      <w:tblPr>
        <w:tblW w:type="auto" w:w="0"/>
        <w:jc w:val="center"/>
        <w:tblLayout w:type="fixed"/>
        <w:tblLook w:firstColumn="1" w:firstRow="1" w:lastColumn="0" w:lastRow="0" w:noHBand="0" w:noVBand="1" w:val="04A0"/>
      </w:tblPr>
      <w:tblGrid>
        <w:gridCol w:w="3384"/>
        <w:gridCol w:w="3384"/>
        <w:gridCol w:w="3384"/>
      </w:tblGrid>
      <w:tr>
        <w:tc>
          <w:tcPr>
            <w:tcW w:type="dxa" w:w="3384"/>
            <w:shd w:fill="D9EAF7"/>
            <w:tcMar>
              <w:top w:w="100" w:type="dxa"/>
              <w:start w:w="100" w:type="dxa"/>
              <w:bottom w:w="100" w:type="dxa"/>
              <w:end w:w="100" w:type="dxa"/>
            </w:tcMar>
          </w:tcPr>
          <w:p>
            <w:pPr>
              <w:spacing w:after="20"/>
              <w:jc w:val="center"/>
            </w:pPr>
            <w:r/>
            <w:r>
              <w:rPr>
                <w:b/>
                <w:color w:val="17365D"/>
                <w:sz w:val="40"/>
              </w:rPr>
              <w:t>742+</w:t>
            </w:r>
          </w:p>
          <w:p>
            <w:pPr>
              <w:spacing w:after="0"/>
              <w:jc w:val="center"/>
            </w:pPr>
            <w:r>
              <w:rPr>
                <w:color w:val="666666"/>
                <w:sz w:val="17"/>
              </w:rPr>
              <w:t>atenciones y servicios reportados por mesas e instituciones</w:t>
            </w:r>
          </w:p>
        </w:tc>
        <w:tc>
          <w:tcPr>
            <w:tcW w:type="dxa" w:w="3384"/>
            <w:shd w:fill="FFF4D6"/>
            <w:tcMar>
              <w:top w:w="100" w:type="dxa"/>
              <w:start w:w="100" w:type="dxa"/>
              <w:bottom w:w="100" w:type="dxa"/>
              <w:end w:w="100" w:type="dxa"/>
            </w:tcMar>
          </w:tcPr>
          <w:p>
            <w:pPr>
              <w:spacing w:after="20"/>
              <w:jc w:val="center"/>
            </w:pPr>
            <w:r/>
            <w:r>
              <w:rPr>
                <w:b/>
                <w:color w:val="17365D"/>
                <w:sz w:val="40"/>
              </w:rPr>
              <w:t>25</w:t>
            </w:r>
          </w:p>
          <w:p>
            <w:pPr>
              <w:spacing w:after="0"/>
              <w:jc w:val="center"/>
            </w:pPr>
            <w:r>
              <w:rPr>
                <w:color w:val="666666"/>
                <w:sz w:val="17"/>
              </w:rPr>
              <w:t>niños atendidos en el área recreativa de pintura de caritas</w:t>
            </w:r>
          </w:p>
        </w:tc>
        <w:tc>
          <w:tcPr>
            <w:tcW w:type="dxa" w:w="3384"/>
            <w:shd w:fill="D9EAF7"/>
            <w:tcMar>
              <w:top w:w="100" w:type="dxa"/>
              <w:start w:w="100" w:type="dxa"/>
              <w:bottom w:w="100" w:type="dxa"/>
              <w:end w:w="100" w:type="dxa"/>
            </w:tcMar>
          </w:tcPr>
          <w:p>
            <w:pPr>
              <w:spacing w:after="20"/>
              <w:jc w:val="center"/>
            </w:pPr>
            <w:r/>
            <w:r>
              <w:rPr>
                <w:b/>
                <w:color w:val="17365D"/>
                <w:sz w:val="40"/>
              </w:rPr>
              <w:t>767+</w:t>
            </w:r>
          </w:p>
          <w:p>
            <w:pPr>
              <w:spacing w:after="0"/>
              <w:jc w:val="center"/>
            </w:pPr>
            <w:r>
              <w:rPr>
                <w:color w:val="666666"/>
                <w:sz w:val="17"/>
              </w:rPr>
              <w:t>interacciones de servicio documentadas de manera preliminar</w:t>
            </w:r>
          </w:p>
        </w:tc>
      </w:tr>
    </w:tbl>
    <w:p/>
    <w:p>
      <w:r>
        <w:rPr>
          <w:b/>
          <w:color w:val="17365D"/>
          <w:sz w:val="28"/>
        </w:rPr>
        <w:t>Presentación</w:t>
      </w:r>
    </w:p>
    <w:p>
      <w:pPr>
        <w:jc w:val="both"/>
      </w:pPr>
      <w:r>
        <w:t>En nombre de AHPSI y de las organizaciones coordinadoras de la XIII Feria Anual de Salud Comunitaria, presentamos este informe preliminar sobre los servicios ofrecidos durante la jornada celebrada en Elizabeth, New Jersey. El documento organiza los datos recibidos por cada mesa, institución o área de servicio, con el propósito de reconocer el alcance de la actividad, identificar los principales aportes y facilitar la preparación del informe final.</w:t>
      </w:r>
    </w:p>
    <w:p>
      <w:pPr>
        <w:jc w:val="both"/>
      </w:pPr>
      <w:r>
        <w:rPr>
          <w:i/>
          <w:color w:val="666666"/>
        </w:rPr>
        <w:t>Los resultados reflejan interacciones de servicio y no necesariamente personas únicas, ya que un mismo participante pudo recibir atención en varias mesas. Las cifras marcadas con el signo “+” representan mínimos reportados y podrán ser actualizadas cuando se completen los registros pendientes.</w:t>
      </w:r>
    </w:p>
    <w:p>
      <w:pPr>
        <w:pStyle w:val="ReportHeading1"/>
      </w:pPr>
      <w:r>
        <w:t>1. Detalle preliminar por área, institución y servicio</w:t>
      </w:r>
    </w:p>
    <w:tbl>
      <w:tblPr>
        <w:tblStyle w:val="TableGrid"/>
        <w:tblW w:type="auto" w:w="0"/>
        <w:jc w:val="center"/>
        <w:tblLayout w:type="fixed"/>
        <w:tblLook w:firstColumn="1" w:firstRow="1" w:lastColumn="0" w:lastRow="0" w:noHBand="0" w:noVBand="1" w:val="04A0"/>
      </w:tblPr>
      <w:tblGrid>
        <w:gridCol w:w="3168"/>
        <w:gridCol w:w="5112"/>
        <w:gridCol w:w="1152"/>
        <w:gridCol w:w="1080"/>
      </w:tblGrid>
      <w:tr>
        <w:trPr>
          <w:tblHeader w:val="true"/>
        </w:trPr>
        <w:tc>
          <w:tcPr>
            <w:tcW w:type="dxa" w:w="2592"/>
            <w:vAlign w:val="center"/>
            <w:tcMar>
              <w:top w:w="80" w:type="dxa"/>
              <w:start w:w="90" w:type="dxa"/>
              <w:bottom w:w="80" w:type="dxa"/>
              <w:end w:w="90" w:type="dxa"/>
            </w:tcMar>
            <w:shd w:fill="17365D"/>
          </w:tcPr>
          <w:p>
            <w:pPr>
              <w:spacing w:after="0"/>
              <w:jc w:val="center"/>
            </w:pPr>
            <w:r/>
            <w:r>
              <w:rPr>
                <w:rFonts w:ascii="Aptos" w:hAnsi="Aptos"/>
                <w:b/>
                <w:color w:val="FFFFFF"/>
                <w:sz w:val="18"/>
              </w:rPr>
              <w:t>Área</w:t>
            </w:r>
          </w:p>
        </w:tc>
        <w:tc>
          <w:tcPr>
            <w:tcW w:type="dxa" w:w="2592"/>
            <w:vAlign w:val="center"/>
            <w:tcMar>
              <w:top w:w="80" w:type="dxa"/>
              <w:start w:w="90" w:type="dxa"/>
              <w:bottom w:w="80" w:type="dxa"/>
              <w:end w:w="90" w:type="dxa"/>
            </w:tcMar>
            <w:shd w:fill="17365D"/>
          </w:tcPr>
          <w:p>
            <w:pPr>
              <w:spacing w:after="0"/>
              <w:jc w:val="center"/>
            </w:pPr>
            <w:r/>
            <w:r>
              <w:rPr>
                <w:rFonts w:ascii="Aptos" w:hAnsi="Aptos"/>
                <w:b/>
                <w:color w:val="FFFFFF"/>
                <w:sz w:val="18"/>
              </w:rPr>
              <w:t>Institución / servicio</w:t>
            </w:r>
          </w:p>
        </w:tc>
        <w:tc>
          <w:tcPr>
            <w:tcW w:type="dxa" w:w="2592"/>
            <w:vAlign w:val="center"/>
            <w:tcMar>
              <w:top w:w="80" w:type="dxa"/>
              <w:start w:w="90" w:type="dxa"/>
              <w:bottom w:w="80" w:type="dxa"/>
              <w:end w:w="90" w:type="dxa"/>
            </w:tcMar>
            <w:shd w:fill="17365D"/>
          </w:tcPr>
          <w:p>
            <w:pPr>
              <w:spacing w:after="0"/>
              <w:jc w:val="center"/>
            </w:pPr>
            <w:r/>
            <w:r>
              <w:rPr>
                <w:rFonts w:ascii="Aptos" w:hAnsi="Aptos"/>
                <w:b/>
                <w:color w:val="FFFFFF"/>
                <w:sz w:val="18"/>
              </w:rPr>
              <w:t>Cantidad</w:t>
            </w:r>
          </w:p>
        </w:tc>
        <w:tc>
          <w:tcPr>
            <w:tcW w:type="dxa" w:w="2592"/>
            <w:vAlign w:val="center"/>
            <w:tcMar>
              <w:top w:w="80" w:type="dxa"/>
              <w:start w:w="90" w:type="dxa"/>
              <w:bottom w:w="80" w:type="dxa"/>
              <w:end w:w="90" w:type="dxa"/>
            </w:tcMar>
            <w:shd w:fill="17365D"/>
          </w:tcPr>
          <w:p>
            <w:pPr>
              <w:spacing w:after="0"/>
              <w:jc w:val="center"/>
            </w:pPr>
            <w:r/>
            <w:r>
              <w:rPr>
                <w:rFonts w:ascii="Aptos" w:hAnsi="Aptos"/>
                <w:b/>
                <w:color w:val="FFFFFF"/>
                <w:sz w:val="18"/>
              </w:rPr>
              <w:t>Estado</w:t>
            </w:r>
          </w:p>
        </w:tc>
      </w:tr>
      <w:tr>
        <w:tc>
          <w:tcPr>
            <w:tcW w:type="dxa" w:w="3168"/>
            <w:vAlign w:val="center"/>
            <w:tcMar>
              <w:top w:w="80" w:type="dxa"/>
              <w:start w:w="90" w:type="dxa"/>
              <w:bottom w:w="80" w:type="dxa"/>
              <w:end w:w="90" w:type="dxa"/>
            </w:tcMar>
            <w:shd w:fill="F3F7FA"/>
          </w:tcPr>
          <w:p>
            <w:pPr>
              <w:spacing w:after="0"/>
              <w:jc w:val="left"/>
            </w:pPr>
            <w:r/>
            <w:r>
              <w:rPr>
                <w:rFonts w:ascii="Aptos" w:hAnsi="Aptos"/>
                <w:b w:val="0"/>
                <w:color w:val="000000"/>
                <w:sz w:val="17"/>
              </w:rPr>
              <w:t>Atención hospitalaria y orientación general</w:t>
            </w:r>
          </w:p>
        </w:tc>
        <w:tc>
          <w:tcPr>
            <w:tcW w:type="dxa" w:w="5112"/>
            <w:vAlign w:val="center"/>
            <w:tcMar>
              <w:top w:w="80" w:type="dxa"/>
              <w:start w:w="90" w:type="dxa"/>
              <w:bottom w:w="80" w:type="dxa"/>
              <w:end w:w="90" w:type="dxa"/>
            </w:tcMar>
            <w:shd w:fill="F3F7FA"/>
          </w:tcPr>
          <w:p>
            <w:pPr>
              <w:spacing w:after="0"/>
              <w:jc w:val="left"/>
            </w:pPr>
            <w:r/>
            <w:r>
              <w:rPr>
                <w:rFonts w:ascii="Aptos" w:hAnsi="Aptos"/>
                <w:b w:val="0"/>
                <w:color w:val="000000"/>
                <w:sz w:val="17"/>
              </w:rPr>
              <w:t>Varon Care</w:t>
            </w:r>
          </w:p>
        </w:tc>
        <w:tc>
          <w:tcPr>
            <w:tcW w:type="dxa" w:w="1152"/>
            <w:vAlign w:val="center"/>
            <w:tcMar>
              <w:top w:w="80" w:type="dxa"/>
              <w:start w:w="90" w:type="dxa"/>
              <w:bottom w:w="80" w:type="dxa"/>
              <w:end w:w="90" w:type="dxa"/>
            </w:tcMar>
            <w:shd w:fill="F3F7FA"/>
          </w:tcPr>
          <w:p>
            <w:pPr>
              <w:spacing w:after="0"/>
              <w:jc w:val="center"/>
            </w:pPr>
            <w:r/>
            <w:r>
              <w:rPr>
                <w:rFonts w:ascii="Aptos" w:hAnsi="Aptos"/>
                <w:b w:val="0"/>
                <w:color w:val="000000"/>
                <w:sz w:val="17"/>
              </w:rPr>
              <w:t>4</w:t>
            </w:r>
          </w:p>
        </w:tc>
        <w:tc>
          <w:tcPr>
            <w:tcW w:type="dxa" w:w="1080"/>
            <w:vAlign w:val="center"/>
            <w:tcMar>
              <w:top w:w="80" w:type="dxa"/>
              <w:start w:w="90" w:type="dxa"/>
              <w:bottom w:w="80" w:type="dxa"/>
              <w:end w:w="90" w:type="dxa"/>
            </w:tcMar>
            <w:shd w:fill="F3F7FA"/>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tcPr>
          <w:p>
            <w:pPr>
              <w:spacing w:after="0"/>
              <w:jc w:val="left"/>
            </w:pPr>
            <w:r/>
            <w:r>
              <w:rPr>
                <w:rFonts w:ascii="Aptos" w:hAnsi="Aptos"/>
                <w:b w:val="0"/>
                <w:color w:val="000000"/>
                <w:sz w:val="17"/>
              </w:rPr>
              <w:t>Atención hospitalaria y orientación general</w:t>
            </w:r>
          </w:p>
        </w:tc>
        <w:tc>
          <w:tcPr>
            <w:tcW w:type="dxa" w:w="5112"/>
            <w:vAlign w:val="center"/>
            <w:tcMar>
              <w:top w:w="80" w:type="dxa"/>
              <w:start w:w="90" w:type="dxa"/>
              <w:bottom w:w="80" w:type="dxa"/>
              <w:end w:w="90" w:type="dxa"/>
            </w:tcMar>
          </w:tcPr>
          <w:p>
            <w:pPr>
              <w:spacing w:after="0"/>
              <w:jc w:val="left"/>
            </w:pPr>
            <w:r/>
            <w:r>
              <w:rPr>
                <w:rFonts w:ascii="Aptos" w:hAnsi="Aptos"/>
                <w:b w:val="0"/>
                <w:color w:val="000000"/>
                <w:sz w:val="17"/>
              </w:rPr>
              <w:t>Bayada Home Health Care</w:t>
            </w:r>
          </w:p>
        </w:tc>
        <w:tc>
          <w:tcPr>
            <w:tcW w:type="dxa" w:w="1152"/>
            <w:vAlign w:val="center"/>
            <w:tcMar>
              <w:top w:w="80" w:type="dxa"/>
              <w:start w:w="90" w:type="dxa"/>
              <w:bottom w:w="80" w:type="dxa"/>
              <w:end w:w="90" w:type="dxa"/>
            </w:tcMar>
          </w:tcPr>
          <w:p>
            <w:pPr>
              <w:spacing w:after="0"/>
              <w:jc w:val="center"/>
            </w:pPr>
            <w:r/>
            <w:r>
              <w:rPr>
                <w:rFonts w:ascii="Aptos" w:hAnsi="Aptos"/>
                <w:b w:val="0"/>
                <w:color w:val="000000"/>
                <w:sz w:val="17"/>
              </w:rPr>
              <w:t>9</w:t>
            </w:r>
          </w:p>
        </w:tc>
        <w:tc>
          <w:tcPr>
            <w:tcW w:type="dxa" w:w="1080"/>
            <w:vAlign w:val="center"/>
            <w:tcMar>
              <w:top w:w="80" w:type="dxa"/>
              <w:start w:w="90" w:type="dxa"/>
              <w:bottom w:w="80" w:type="dxa"/>
              <w:end w:w="90" w:type="dxa"/>
            </w:tcMar>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shd w:fill="F3F7FA"/>
          </w:tcPr>
          <w:p>
            <w:pPr>
              <w:spacing w:after="0"/>
              <w:jc w:val="left"/>
            </w:pPr>
            <w:r/>
            <w:r>
              <w:rPr>
                <w:rFonts w:ascii="Aptos" w:hAnsi="Aptos"/>
                <w:b w:val="0"/>
                <w:color w:val="000000"/>
                <w:sz w:val="17"/>
              </w:rPr>
              <w:t>Atención hospitalaria y orientación general</w:t>
            </w:r>
          </w:p>
        </w:tc>
        <w:tc>
          <w:tcPr>
            <w:tcW w:type="dxa" w:w="5112"/>
            <w:vAlign w:val="center"/>
            <w:tcMar>
              <w:top w:w="80" w:type="dxa"/>
              <w:start w:w="90" w:type="dxa"/>
              <w:bottom w:w="80" w:type="dxa"/>
              <w:end w:w="90" w:type="dxa"/>
            </w:tcMar>
            <w:shd w:fill="F3F7FA"/>
          </w:tcPr>
          <w:p>
            <w:pPr>
              <w:spacing w:after="0"/>
              <w:jc w:val="left"/>
            </w:pPr>
            <w:r/>
            <w:r>
              <w:rPr>
                <w:rFonts w:ascii="Aptos" w:hAnsi="Aptos"/>
                <w:b w:val="0"/>
                <w:color w:val="000000"/>
                <w:sz w:val="17"/>
              </w:rPr>
              <w:t>Trinitas Health</w:t>
            </w:r>
          </w:p>
        </w:tc>
        <w:tc>
          <w:tcPr>
            <w:tcW w:type="dxa" w:w="1152"/>
            <w:vAlign w:val="center"/>
            <w:tcMar>
              <w:top w:w="80" w:type="dxa"/>
              <w:start w:w="90" w:type="dxa"/>
              <w:bottom w:w="80" w:type="dxa"/>
              <w:end w:w="90" w:type="dxa"/>
            </w:tcMar>
            <w:shd w:fill="F3F7FA"/>
          </w:tcPr>
          <w:p>
            <w:pPr>
              <w:spacing w:after="0"/>
              <w:jc w:val="center"/>
            </w:pPr>
            <w:r/>
            <w:r>
              <w:rPr>
                <w:rFonts w:ascii="Aptos" w:hAnsi="Aptos"/>
                <w:b w:val="0"/>
                <w:color w:val="000000"/>
                <w:sz w:val="17"/>
              </w:rPr>
              <w:t>100+</w:t>
            </w:r>
          </w:p>
        </w:tc>
        <w:tc>
          <w:tcPr>
            <w:tcW w:type="dxa" w:w="1080"/>
            <w:vAlign w:val="center"/>
            <w:tcMar>
              <w:top w:w="80" w:type="dxa"/>
              <w:start w:w="90" w:type="dxa"/>
              <w:bottom w:w="80" w:type="dxa"/>
              <w:end w:w="90" w:type="dxa"/>
            </w:tcMar>
            <w:shd w:fill="F3F7FA"/>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tcPr>
          <w:p>
            <w:pPr>
              <w:spacing w:after="0"/>
              <w:jc w:val="left"/>
            </w:pPr>
            <w:r/>
            <w:r>
              <w:rPr>
                <w:rFonts w:ascii="Aptos" w:hAnsi="Aptos"/>
                <w:b w:val="0"/>
                <w:color w:val="000000"/>
                <w:sz w:val="17"/>
              </w:rPr>
              <w:t>Educación financiera y comunitaria</w:t>
            </w:r>
          </w:p>
        </w:tc>
        <w:tc>
          <w:tcPr>
            <w:tcW w:type="dxa" w:w="5112"/>
            <w:vAlign w:val="center"/>
            <w:tcMar>
              <w:top w:w="80" w:type="dxa"/>
              <w:start w:w="90" w:type="dxa"/>
              <w:bottom w:w="80" w:type="dxa"/>
              <w:end w:w="90" w:type="dxa"/>
            </w:tcMar>
          </w:tcPr>
          <w:p>
            <w:pPr>
              <w:spacing w:after="0"/>
              <w:jc w:val="left"/>
            </w:pPr>
            <w:r/>
            <w:r>
              <w:rPr>
                <w:rFonts w:ascii="Aptos" w:hAnsi="Aptos"/>
                <w:b w:val="0"/>
                <w:color w:val="000000"/>
                <w:sz w:val="17"/>
              </w:rPr>
              <w:t>Union County Savings Bank</w:t>
            </w:r>
          </w:p>
        </w:tc>
        <w:tc>
          <w:tcPr>
            <w:tcW w:type="dxa" w:w="1152"/>
            <w:vAlign w:val="center"/>
            <w:tcMar>
              <w:top w:w="80" w:type="dxa"/>
              <w:start w:w="90" w:type="dxa"/>
              <w:bottom w:w="80" w:type="dxa"/>
              <w:end w:w="90" w:type="dxa"/>
            </w:tcMar>
          </w:tcPr>
          <w:p>
            <w:pPr>
              <w:spacing w:after="0"/>
              <w:jc w:val="center"/>
            </w:pPr>
            <w:r/>
            <w:r>
              <w:rPr>
                <w:rFonts w:ascii="Aptos" w:hAnsi="Aptos"/>
                <w:b w:val="0"/>
                <w:color w:val="000000"/>
                <w:sz w:val="17"/>
              </w:rPr>
              <w:t>5</w:t>
            </w:r>
          </w:p>
        </w:tc>
        <w:tc>
          <w:tcPr>
            <w:tcW w:type="dxa" w:w="1080"/>
            <w:vAlign w:val="center"/>
            <w:tcMar>
              <w:top w:w="80" w:type="dxa"/>
              <w:start w:w="90" w:type="dxa"/>
              <w:bottom w:w="80" w:type="dxa"/>
              <w:end w:w="90" w:type="dxa"/>
            </w:tcMar>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shd w:fill="F3F7FA"/>
          </w:tcPr>
          <w:p>
            <w:pPr>
              <w:spacing w:after="0"/>
              <w:jc w:val="left"/>
            </w:pPr>
            <w:r/>
            <w:r>
              <w:rPr>
                <w:rFonts w:ascii="Aptos" w:hAnsi="Aptos"/>
                <w:b w:val="0"/>
                <w:color w:val="000000"/>
                <w:sz w:val="17"/>
              </w:rPr>
              <w:t>Salud mental y apoyo psicosocial</w:t>
            </w:r>
          </w:p>
        </w:tc>
        <w:tc>
          <w:tcPr>
            <w:tcW w:type="dxa" w:w="5112"/>
            <w:vAlign w:val="center"/>
            <w:tcMar>
              <w:top w:w="80" w:type="dxa"/>
              <w:start w:w="90" w:type="dxa"/>
              <w:bottom w:w="80" w:type="dxa"/>
              <w:end w:w="90" w:type="dxa"/>
            </w:tcMar>
            <w:shd w:fill="F3F7FA"/>
          </w:tcPr>
          <w:p>
            <w:pPr>
              <w:spacing w:after="0"/>
              <w:jc w:val="left"/>
            </w:pPr>
            <w:r/>
            <w:r>
              <w:rPr>
                <w:rFonts w:ascii="Aptos" w:hAnsi="Aptos"/>
                <w:b w:val="0"/>
                <w:color w:val="000000"/>
                <w:sz w:val="17"/>
              </w:rPr>
              <w:t>NAMI NJ en Español</w:t>
            </w:r>
          </w:p>
        </w:tc>
        <w:tc>
          <w:tcPr>
            <w:tcW w:type="dxa" w:w="1152"/>
            <w:vAlign w:val="center"/>
            <w:tcMar>
              <w:top w:w="80" w:type="dxa"/>
              <w:start w:w="90" w:type="dxa"/>
              <w:bottom w:w="80" w:type="dxa"/>
              <w:end w:w="90" w:type="dxa"/>
            </w:tcMar>
            <w:shd w:fill="F3F7FA"/>
          </w:tcPr>
          <w:p>
            <w:pPr>
              <w:spacing w:after="0"/>
              <w:jc w:val="center"/>
            </w:pPr>
            <w:r/>
            <w:r>
              <w:rPr>
                <w:rFonts w:ascii="Aptos" w:hAnsi="Aptos"/>
                <w:b w:val="0"/>
                <w:color w:val="000000"/>
                <w:sz w:val="17"/>
              </w:rPr>
              <w:t>5</w:t>
            </w:r>
          </w:p>
        </w:tc>
        <w:tc>
          <w:tcPr>
            <w:tcW w:type="dxa" w:w="1080"/>
            <w:vAlign w:val="center"/>
            <w:tcMar>
              <w:top w:w="80" w:type="dxa"/>
              <w:start w:w="90" w:type="dxa"/>
              <w:bottom w:w="80" w:type="dxa"/>
              <w:end w:w="90" w:type="dxa"/>
            </w:tcMar>
            <w:shd w:fill="F3F7FA"/>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tcPr>
          <w:p>
            <w:pPr>
              <w:spacing w:after="0"/>
              <w:jc w:val="left"/>
            </w:pPr>
            <w:r/>
            <w:r>
              <w:rPr>
                <w:rFonts w:ascii="Aptos" w:hAnsi="Aptos"/>
                <w:b w:val="0"/>
                <w:color w:val="000000"/>
                <w:sz w:val="17"/>
              </w:rPr>
              <w:t>Seguros y orientación de salud</w:t>
            </w:r>
          </w:p>
        </w:tc>
        <w:tc>
          <w:tcPr>
            <w:tcW w:type="dxa" w:w="5112"/>
            <w:vAlign w:val="center"/>
            <w:tcMar>
              <w:top w:w="80" w:type="dxa"/>
              <w:start w:w="90" w:type="dxa"/>
              <w:bottom w:w="80" w:type="dxa"/>
              <w:end w:w="90" w:type="dxa"/>
            </w:tcMar>
          </w:tcPr>
          <w:p>
            <w:pPr>
              <w:spacing w:after="0"/>
              <w:jc w:val="left"/>
            </w:pPr>
            <w:r/>
            <w:r>
              <w:rPr>
                <w:rFonts w:ascii="Aptos" w:hAnsi="Aptos"/>
                <w:b w:val="0"/>
                <w:color w:val="000000"/>
                <w:sz w:val="17"/>
              </w:rPr>
              <w:t>UnitedHealthcare</w:t>
            </w:r>
          </w:p>
        </w:tc>
        <w:tc>
          <w:tcPr>
            <w:tcW w:type="dxa" w:w="1152"/>
            <w:vAlign w:val="center"/>
            <w:tcMar>
              <w:top w:w="80" w:type="dxa"/>
              <w:start w:w="90" w:type="dxa"/>
              <w:bottom w:w="80" w:type="dxa"/>
              <w:end w:w="90" w:type="dxa"/>
            </w:tcMar>
          </w:tcPr>
          <w:p>
            <w:pPr>
              <w:spacing w:after="0"/>
              <w:jc w:val="center"/>
            </w:pPr>
            <w:r/>
            <w:r>
              <w:rPr>
                <w:rFonts w:ascii="Aptos" w:hAnsi="Aptos"/>
                <w:b w:val="0"/>
                <w:color w:val="000000"/>
                <w:sz w:val="17"/>
              </w:rPr>
              <w:t>16</w:t>
            </w:r>
          </w:p>
        </w:tc>
        <w:tc>
          <w:tcPr>
            <w:tcW w:type="dxa" w:w="1080"/>
            <w:vAlign w:val="center"/>
            <w:tcMar>
              <w:top w:w="80" w:type="dxa"/>
              <w:start w:w="90" w:type="dxa"/>
              <w:bottom w:w="80" w:type="dxa"/>
              <w:end w:w="90" w:type="dxa"/>
            </w:tcMar>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shd w:fill="F3F7FA"/>
          </w:tcPr>
          <w:p>
            <w:pPr>
              <w:spacing w:after="0"/>
              <w:jc w:val="left"/>
            </w:pPr>
            <w:r/>
            <w:r>
              <w:rPr>
                <w:rFonts w:ascii="Aptos" w:hAnsi="Aptos"/>
                <w:b w:val="0"/>
                <w:color w:val="000000"/>
                <w:sz w:val="17"/>
              </w:rPr>
              <w:t>Terapias complementarias</w:t>
            </w:r>
          </w:p>
        </w:tc>
        <w:tc>
          <w:tcPr>
            <w:tcW w:type="dxa" w:w="5112"/>
            <w:vAlign w:val="center"/>
            <w:tcMar>
              <w:top w:w="80" w:type="dxa"/>
              <w:start w:w="90" w:type="dxa"/>
              <w:bottom w:w="80" w:type="dxa"/>
              <w:end w:w="90" w:type="dxa"/>
            </w:tcMar>
            <w:shd w:fill="F3F7FA"/>
          </w:tcPr>
          <w:p>
            <w:pPr>
              <w:spacing w:after="0"/>
              <w:jc w:val="left"/>
            </w:pPr>
            <w:r/>
            <w:r>
              <w:rPr>
                <w:rFonts w:ascii="Aptos" w:hAnsi="Aptos"/>
                <w:b w:val="0"/>
                <w:color w:val="000000"/>
                <w:sz w:val="17"/>
              </w:rPr>
              <w:t>Terapia Reiki</w:t>
            </w:r>
          </w:p>
        </w:tc>
        <w:tc>
          <w:tcPr>
            <w:tcW w:type="dxa" w:w="1152"/>
            <w:vAlign w:val="center"/>
            <w:tcMar>
              <w:top w:w="80" w:type="dxa"/>
              <w:start w:w="90" w:type="dxa"/>
              <w:bottom w:w="80" w:type="dxa"/>
              <w:end w:w="90" w:type="dxa"/>
            </w:tcMar>
            <w:shd w:fill="F3F7FA"/>
          </w:tcPr>
          <w:p>
            <w:pPr>
              <w:spacing w:after="0"/>
              <w:jc w:val="center"/>
            </w:pPr>
            <w:r/>
            <w:r>
              <w:rPr>
                <w:rFonts w:ascii="Aptos" w:hAnsi="Aptos"/>
                <w:b w:val="0"/>
                <w:color w:val="000000"/>
                <w:sz w:val="17"/>
              </w:rPr>
              <w:t>11</w:t>
            </w:r>
          </w:p>
        </w:tc>
        <w:tc>
          <w:tcPr>
            <w:tcW w:type="dxa" w:w="1080"/>
            <w:vAlign w:val="center"/>
            <w:tcMar>
              <w:top w:w="80" w:type="dxa"/>
              <w:start w:w="90" w:type="dxa"/>
              <w:bottom w:w="80" w:type="dxa"/>
              <w:end w:w="90" w:type="dxa"/>
            </w:tcMar>
            <w:shd w:fill="F3F7FA"/>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tcPr>
          <w:p>
            <w:pPr>
              <w:spacing w:after="0"/>
              <w:jc w:val="left"/>
            </w:pPr>
            <w:r/>
            <w:r>
              <w:rPr>
                <w:rFonts w:ascii="Aptos" w:hAnsi="Aptos"/>
                <w:b w:val="0"/>
                <w:color w:val="000000"/>
                <w:sz w:val="17"/>
              </w:rPr>
              <w:t>Salud mental y apoyo psicosocial</w:t>
            </w:r>
          </w:p>
        </w:tc>
        <w:tc>
          <w:tcPr>
            <w:tcW w:type="dxa" w:w="5112"/>
            <w:vAlign w:val="center"/>
            <w:tcMar>
              <w:top w:w="80" w:type="dxa"/>
              <w:start w:w="90" w:type="dxa"/>
              <w:bottom w:w="80" w:type="dxa"/>
              <w:end w:w="90" w:type="dxa"/>
            </w:tcMar>
          </w:tcPr>
          <w:p>
            <w:pPr>
              <w:spacing w:after="0"/>
              <w:jc w:val="left"/>
            </w:pPr>
            <w:r/>
            <w:r>
              <w:rPr>
                <w:rFonts w:ascii="Aptos" w:hAnsi="Aptos"/>
                <w:b w:val="0"/>
                <w:color w:val="000000"/>
                <w:sz w:val="17"/>
              </w:rPr>
              <w:t>Servicios de Psicología – Lic. Luz Elena Cunha</w:t>
            </w:r>
          </w:p>
        </w:tc>
        <w:tc>
          <w:tcPr>
            <w:tcW w:type="dxa" w:w="1152"/>
            <w:vAlign w:val="center"/>
            <w:tcMar>
              <w:top w:w="80" w:type="dxa"/>
              <w:start w:w="90" w:type="dxa"/>
              <w:bottom w:w="80" w:type="dxa"/>
              <w:end w:w="90" w:type="dxa"/>
            </w:tcMar>
          </w:tcPr>
          <w:p>
            <w:pPr>
              <w:spacing w:after="0"/>
              <w:jc w:val="center"/>
            </w:pPr>
            <w:r/>
            <w:r>
              <w:rPr>
                <w:rFonts w:ascii="Aptos" w:hAnsi="Aptos"/>
                <w:b w:val="0"/>
                <w:color w:val="000000"/>
                <w:sz w:val="17"/>
              </w:rPr>
              <w:t>10+</w:t>
            </w:r>
          </w:p>
        </w:tc>
        <w:tc>
          <w:tcPr>
            <w:tcW w:type="dxa" w:w="1080"/>
            <w:vAlign w:val="center"/>
            <w:tcMar>
              <w:top w:w="80" w:type="dxa"/>
              <w:start w:w="90" w:type="dxa"/>
              <w:bottom w:w="80" w:type="dxa"/>
              <w:end w:w="90" w:type="dxa"/>
            </w:tcMar>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shd w:fill="F3F7FA"/>
          </w:tcPr>
          <w:p>
            <w:pPr>
              <w:spacing w:after="0"/>
              <w:jc w:val="left"/>
            </w:pPr>
            <w:r/>
            <w:r>
              <w:rPr>
                <w:rFonts w:ascii="Aptos" w:hAnsi="Aptos"/>
                <w:b w:val="0"/>
                <w:color w:val="000000"/>
                <w:sz w:val="17"/>
              </w:rPr>
              <w:t>Terapias complementarias</w:t>
            </w:r>
          </w:p>
        </w:tc>
        <w:tc>
          <w:tcPr>
            <w:tcW w:type="dxa" w:w="5112"/>
            <w:vAlign w:val="center"/>
            <w:tcMar>
              <w:top w:w="80" w:type="dxa"/>
              <w:start w:w="90" w:type="dxa"/>
              <w:bottom w:w="80" w:type="dxa"/>
              <w:end w:w="90" w:type="dxa"/>
            </w:tcMar>
            <w:shd w:fill="F3F7FA"/>
          </w:tcPr>
          <w:p>
            <w:pPr>
              <w:spacing w:after="0"/>
              <w:jc w:val="left"/>
            </w:pPr>
            <w:r/>
            <w:r>
              <w:rPr>
                <w:rFonts w:ascii="Aptos" w:hAnsi="Aptos"/>
                <w:b w:val="0"/>
                <w:color w:val="000000"/>
                <w:sz w:val="17"/>
              </w:rPr>
              <w:t>Terapia de Regeneración Celular – René Mey</w:t>
            </w:r>
          </w:p>
        </w:tc>
        <w:tc>
          <w:tcPr>
            <w:tcW w:type="dxa" w:w="1152"/>
            <w:vAlign w:val="center"/>
            <w:tcMar>
              <w:top w:w="80" w:type="dxa"/>
              <w:start w:w="90" w:type="dxa"/>
              <w:bottom w:w="80" w:type="dxa"/>
              <w:end w:w="90" w:type="dxa"/>
            </w:tcMar>
            <w:shd w:fill="F3F7FA"/>
          </w:tcPr>
          <w:p>
            <w:pPr>
              <w:spacing w:after="0"/>
              <w:jc w:val="center"/>
            </w:pPr>
            <w:r/>
            <w:r>
              <w:rPr>
                <w:rFonts w:ascii="Aptos" w:hAnsi="Aptos"/>
                <w:b w:val="0"/>
                <w:color w:val="000000"/>
                <w:sz w:val="17"/>
              </w:rPr>
              <w:t>18</w:t>
            </w:r>
          </w:p>
        </w:tc>
        <w:tc>
          <w:tcPr>
            <w:tcW w:type="dxa" w:w="1080"/>
            <w:vAlign w:val="center"/>
            <w:tcMar>
              <w:top w:w="80" w:type="dxa"/>
              <w:start w:w="90" w:type="dxa"/>
              <w:bottom w:w="80" w:type="dxa"/>
              <w:end w:w="90" w:type="dxa"/>
            </w:tcMar>
            <w:shd w:fill="F3F7FA"/>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tcPr>
          <w:p>
            <w:pPr>
              <w:spacing w:after="0"/>
              <w:jc w:val="left"/>
            </w:pPr>
            <w:r/>
            <w:r>
              <w:rPr>
                <w:rFonts w:ascii="Aptos" w:hAnsi="Aptos"/>
                <w:b w:val="0"/>
                <w:color w:val="000000"/>
                <w:sz w:val="17"/>
              </w:rPr>
              <w:t>Prevención y educación</w:t>
            </w:r>
          </w:p>
        </w:tc>
        <w:tc>
          <w:tcPr>
            <w:tcW w:type="dxa" w:w="5112"/>
            <w:vAlign w:val="center"/>
            <w:tcMar>
              <w:top w:w="80" w:type="dxa"/>
              <w:start w:w="90" w:type="dxa"/>
              <w:bottom w:w="80" w:type="dxa"/>
              <w:end w:w="90" w:type="dxa"/>
            </w:tcMar>
          </w:tcPr>
          <w:p>
            <w:pPr>
              <w:spacing w:after="0"/>
              <w:jc w:val="left"/>
            </w:pPr>
            <w:r/>
            <w:r>
              <w:rPr>
                <w:rFonts w:ascii="Aptos" w:hAnsi="Aptos"/>
                <w:b w:val="0"/>
                <w:color w:val="000000"/>
                <w:sz w:val="17"/>
              </w:rPr>
              <w:t>Prevención y educación sobre sobredosis – Sr. José Rijo</w:t>
            </w:r>
          </w:p>
        </w:tc>
        <w:tc>
          <w:tcPr>
            <w:tcW w:type="dxa" w:w="1152"/>
            <w:vAlign w:val="center"/>
            <w:tcMar>
              <w:top w:w="80" w:type="dxa"/>
              <w:start w:w="90" w:type="dxa"/>
              <w:bottom w:w="80" w:type="dxa"/>
              <w:end w:w="90" w:type="dxa"/>
            </w:tcMar>
          </w:tcPr>
          <w:p>
            <w:pPr>
              <w:spacing w:after="0"/>
              <w:jc w:val="center"/>
            </w:pPr>
            <w:r/>
            <w:r>
              <w:rPr>
                <w:rFonts w:ascii="Aptos" w:hAnsi="Aptos"/>
                <w:b w:val="0"/>
                <w:color w:val="000000"/>
                <w:sz w:val="17"/>
              </w:rPr>
              <w:t>8+</w:t>
            </w:r>
          </w:p>
        </w:tc>
        <w:tc>
          <w:tcPr>
            <w:tcW w:type="dxa" w:w="1080"/>
            <w:vAlign w:val="center"/>
            <w:tcMar>
              <w:top w:w="80" w:type="dxa"/>
              <w:start w:w="90" w:type="dxa"/>
              <w:bottom w:w="80" w:type="dxa"/>
              <w:end w:w="90" w:type="dxa"/>
            </w:tcMar>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shd w:fill="F3F7FA"/>
          </w:tcPr>
          <w:p>
            <w:pPr>
              <w:spacing w:after="0"/>
              <w:jc w:val="left"/>
            </w:pPr>
            <w:r/>
            <w:r>
              <w:rPr>
                <w:rFonts w:ascii="Aptos" w:hAnsi="Aptos"/>
                <w:b w:val="0"/>
                <w:color w:val="000000"/>
                <w:sz w:val="17"/>
              </w:rPr>
              <w:t>Nutrición materno-infantil</w:t>
            </w:r>
          </w:p>
        </w:tc>
        <w:tc>
          <w:tcPr>
            <w:tcW w:type="dxa" w:w="5112"/>
            <w:vAlign w:val="center"/>
            <w:tcMar>
              <w:top w:w="80" w:type="dxa"/>
              <w:start w:w="90" w:type="dxa"/>
              <w:bottom w:w="80" w:type="dxa"/>
              <w:end w:w="90" w:type="dxa"/>
            </w:tcMar>
            <w:shd w:fill="F3F7FA"/>
          </w:tcPr>
          <w:p>
            <w:pPr>
              <w:spacing w:after="0"/>
              <w:jc w:val="left"/>
            </w:pPr>
            <w:r/>
            <w:r>
              <w:rPr>
                <w:rFonts w:ascii="Aptos" w:hAnsi="Aptos"/>
                <w:b w:val="0"/>
                <w:color w:val="000000"/>
                <w:sz w:val="17"/>
              </w:rPr>
              <w:t>Programa WIC</w:t>
            </w:r>
          </w:p>
        </w:tc>
        <w:tc>
          <w:tcPr>
            <w:tcW w:type="dxa" w:w="1152"/>
            <w:vAlign w:val="center"/>
            <w:tcMar>
              <w:top w:w="80" w:type="dxa"/>
              <w:start w:w="90" w:type="dxa"/>
              <w:bottom w:w="80" w:type="dxa"/>
              <w:end w:w="90" w:type="dxa"/>
            </w:tcMar>
            <w:shd w:fill="F3F7FA"/>
          </w:tcPr>
          <w:p>
            <w:pPr>
              <w:spacing w:after="0"/>
              <w:jc w:val="center"/>
            </w:pPr>
            <w:r/>
            <w:r>
              <w:rPr>
                <w:rFonts w:ascii="Aptos" w:hAnsi="Aptos"/>
                <w:b w:val="0"/>
                <w:color w:val="000000"/>
                <w:sz w:val="17"/>
              </w:rPr>
              <w:t>65</w:t>
            </w:r>
          </w:p>
        </w:tc>
        <w:tc>
          <w:tcPr>
            <w:tcW w:type="dxa" w:w="1080"/>
            <w:vAlign w:val="center"/>
            <w:tcMar>
              <w:top w:w="80" w:type="dxa"/>
              <w:start w:w="90" w:type="dxa"/>
              <w:bottom w:w="80" w:type="dxa"/>
              <w:end w:w="90" w:type="dxa"/>
            </w:tcMar>
            <w:shd w:fill="F3F7FA"/>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tcPr>
          <w:p>
            <w:pPr>
              <w:spacing w:after="0"/>
              <w:jc w:val="left"/>
            </w:pPr>
            <w:r/>
            <w:r>
              <w:rPr>
                <w:rFonts w:ascii="Aptos" w:hAnsi="Aptos"/>
                <w:b w:val="0"/>
                <w:color w:val="000000"/>
                <w:sz w:val="17"/>
              </w:rPr>
              <w:t>Servicios hospitalarios especializados</w:t>
            </w:r>
          </w:p>
        </w:tc>
        <w:tc>
          <w:tcPr>
            <w:tcW w:type="dxa" w:w="5112"/>
            <w:vAlign w:val="center"/>
            <w:tcMar>
              <w:top w:w="80" w:type="dxa"/>
              <w:start w:w="90" w:type="dxa"/>
              <w:bottom w:w="80" w:type="dxa"/>
              <w:end w:w="90" w:type="dxa"/>
            </w:tcMar>
          </w:tcPr>
          <w:p>
            <w:pPr>
              <w:spacing w:after="0"/>
              <w:jc w:val="left"/>
            </w:pPr>
            <w:r/>
            <w:r>
              <w:rPr>
                <w:rFonts w:ascii="Aptos" w:hAnsi="Aptos"/>
                <w:b w:val="0"/>
                <w:color w:val="000000"/>
                <w:sz w:val="17"/>
              </w:rPr>
              <w:t>Departamento de Diálisis – Trinitas Health</w:t>
            </w:r>
          </w:p>
        </w:tc>
        <w:tc>
          <w:tcPr>
            <w:tcW w:type="dxa" w:w="1152"/>
            <w:vAlign w:val="center"/>
            <w:tcMar>
              <w:top w:w="80" w:type="dxa"/>
              <w:start w:w="90" w:type="dxa"/>
              <w:bottom w:w="80" w:type="dxa"/>
              <w:end w:w="90" w:type="dxa"/>
            </w:tcMar>
          </w:tcPr>
          <w:p>
            <w:pPr>
              <w:spacing w:after="0"/>
              <w:jc w:val="center"/>
            </w:pPr>
            <w:r/>
            <w:r>
              <w:rPr>
                <w:rFonts w:ascii="Aptos" w:hAnsi="Aptos"/>
                <w:b w:val="0"/>
                <w:color w:val="000000"/>
                <w:sz w:val="17"/>
              </w:rPr>
              <w:t>20</w:t>
            </w:r>
          </w:p>
        </w:tc>
        <w:tc>
          <w:tcPr>
            <w:tcW w:type="dxa" w:w="1080"/>
            <w:vAlign w:val="center"/>
            <w:tcMar>
              <w:top w:w="80" w:type="dxa"/>
              <w:start w:w="90" w:type="dxa"/>
              <w:bottom w:w="80" w:type="dxa"/>
              <w:end w:w="90" w:type="dxa"/>
            </w:tcMar>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shd w:fill="F3F7FA"/>
          </w:tcPr>
          <w:p>
            <w:pPr>
              <w:spacing w:after="0"/>
              <w:jc w:val="left"/>
            </w:pPr>
            <w:r/>
            <w:r>
              <w:rPr>
                <w:rFonts w:ascii="Aptos" w:hAnsi="Aptos"/>
                <w:b w:val="0"/>
                <w:color w:val="000000"/>
                <w:sz w:val="17"/>
              </w:rPr>
              <w:t>Prevención, vivienda y servicios comunitarios</w:t>
            </w:r>
          </w:p>
        </w:tc>
        <w:tc>
          <w:tcPr>
            <w:tcW w:type="dxa" w:w="5112"/>
            <w:vAlign w:val="center"/>
            <w:tcMar>
              <w:top w:w="80" w:type="dxa"/>
              <w:start w:w="90" w:type="dxa"/>
              <w:bottom w:w="80" w:type="dxa"/>
              <w:end w:w="90" w:type="dxa"/>
            </w:tcMar>
            <w:shd w:fill="F3F7FA"/>
          </w:tcPr>
          <w:p>
            <w:pPr>
              <w:spacing w:after="0"/>
              <w:jc w:val="left"/>
            </w:pPr>
            <w:r/>
            <w:r>
              <w:rPr>
                <w:rFonts w:ascii="Aptos" w:hAnsi="Aptos"/>
                <w:b w:val="0"/>
                <w:color w:val="000000"/>
                <w:sz w:val="17"/>
              </w:rPr>
              <w:t>Proceed Inc.</w:t>
            </w:r>
          </w:p>
        </w:tc>
        <w:tc>
          <w:tcPr>
            <w:tcW w:type="dxa" w:w="1152"/>
            <w:vAlign w:val="center"/>
            <w:tcMar>
              <w:top w:w="80" w:type="dxa"/>
              <w:start w:w="90" w:type="dxa"/>
              <w:bottom w:w="80" w:type="dxa"/>
              <w:end w:w="90" w:type="dxa"/>
            </w:tcMar>
            <w:shd w:fill="F3F7FA"/>
          </w:tcPr>
          <w:p>
            <w:pPr>
              <w:spacing w:after="0"/>
              <w:jc w:val="center"/>
            </w:pPr>
            <w:r/>
            <w:r>
              <w:rPr>
                <w:rFonts w:ascii="Aptos" w:hAnsi="Aptos"/>
                <w:b w:val="0"/>
                <w:color w:val="000000"/>
                <w:sz w:val="17"/>
              </w:rPr>
              <w:t>38</w:t>
            </w:r>
          </w:p>
        </w:tc>
        <w:tc>
          <w:tcPr>
            <w:tcW w:type="dxa" w:w="1080"/>
            <w:vAlign w:val="center"/>
            <w:tcMar>
              <w:top w:w="80" w:type="dxa"/>
              <w:start w:w="90" w:type="dxa"/>
              <w:bottom w:w="80" w:type="dxa"/>
              <w:end w:w="90" w:type="dxa"/>
            </w:tcMar>
            <w:shd w:fill="F3F7FA"/>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tcPr>
          <w:p>
            <w:pPr>
              <w:spacing w:after="0"/>
              <w:jc w:val="left"/>
            </w:pPr>
            <w:r/>
            <w:r>
              <w:rPr>
                <w:rFonts w:ascii="Aptos" w:hAnsi="Aptos"/>
                <w:b w:val="0"/>
                <w:color w:val="000000"/>
                <w:sz w:val="17"/>
              </w:rPr>
              <w:t>Servicios legales e inmigración</w:t>
            </w:r>
          </w:p>
        </w:tc>
        <w:tc>
          <w:tcPr>
            <w:tcW w:type="dxa" w:w="5112"/>
            <w:vAlign w:val="center"/>
            <w:tcMar>
              <w:top w:w="80" w:type="dxa"/>
              <w:start w:w="90" w:type="dxa"/>
              <w:bottom w:w="80" w:type="dxa"/>
              <w:end w:w="90" w:type="dxa"/>
            </w:tcMar>
          </w:tcPr>
          <w:p>
            <w:pPr>
              <w:spacing w:after="0"/>
              <w:jc w:val="left"/>
            </w:pPr>
            <w:r/>
            <w:r>
              <w:rPr>
                <w:rFonts w:ascii="Aptos" w:hAnsi="Aptos"/>
                <w:b w:val="0"/>
                <w:color w:val="000000"/>
                <w:sz w:val="17"/>
              </w:rPr>
              <w:t>ONA – Servicios de Inmigración</w:t>
            </w:r>
          </w:p>
        </w:tc>
        <w:tc>
          <w:tcPr>
            <w:tcW w:type="dxa" w:w="1152"/>
            <w:vAlign w:val="center"/>
            <w:tcMar>
              <w:top w:w="80" w:type="dxa"/>
              <w:start w:w="90" w:type="dxa"/>
              <w:bottom w:w="80" w:type="dxa"/>
              <w:end w:w="90" w:type="dxa"/>
            </w:tcMar>
          </w:tcPr>
          <w:p>
            <w:pPr>
              <w:spacing w:after="0"/>
              <w:jc w:val="center"/>
            </w:pPr>
            <w:r/>
            <w:r>
              <w:rPr>
                <w:rFonts w:ascii="Aptos" w:hAnsi="Aptos"/>
                <w:b w:val="0"/>
                <w:color w:val="000000"/>
                <w:sz w:val="17"/>
              </w:rPr>
              <w:t>4</w:t>
            </w:r>
          </w:p>
        </w:tc>
        <w:tc>
          <w:tcPr>
            <w:tcW w:type="dxa" w:w="1080"/>
            <w:vAlign w:val="center"/>
            <w:tcMar>
              <w:top w:w="80" w:type="dxa"/>
              <w:start w:w="90" w:type="dxa"/>
              <w:bottom w:w="80" w:type="dxa"/>
              <w:end w:w="90" w:type="dxa"/>
            </w:tcMar>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shd w:fill="F3F7FA"/>
          </w:tcPr>
          <w:p>
            <w:pPr>
              <w:spacing w:after="0"/>
              <w:jc w:val="left"/>
            </w:pPr>
            <w:r/>
            <w:r>
              <w:rPr>
                <w:rFonts w:ascii="Aptos" w:hAnsi="Aptos"/>
                <w:b w:val="0"/>
                <w:color w:val="000000"/>
                <w:sz w:val="17"/>
              </w:rPr>
              <w:t>Asistencia alimentaria y beneficios</w:t>
            </w:r>
          </w:p>
        </w:tc>
        <w:tc>
          <w:tcPr>
            <w:tcW w:type="dxa" w:w="5112"/>
            <w:vAlign w:val="center"/>
            <w:tcMar>
              <w:top w:w="80" w:type="dxa"/>
              <w:start w:w="90" w:type="dxa"/>
              <w:bottom w:w="80" w:type="dxa"/>
              <w:end w:w="90" w:type="dxa"/>
            </w:tcMar>
            <w:shd w:fill="F3F7FA"/>
          </w:tcPr>
          <w:p>
            <w:pPr>
              <w:spacing w:after="0"/>
              <w:jc w:val="left"/>
            </w:pPr>
            <w:r/>
            <w:r>
              <w:rPr>
                <w:rFonts w:ascii="Aptos" w:hAnsi="Aptos"/>
                <w:b w:val="0"/>
                <w:color w:val="000000"/>
                <w:sz w:val="17"/>
              </w:rPr>
              <w:t>NJ SNAP</w:t>
            </w:r>
          </w:p>
        </w:tc>
        <w:tc>
          <w:tcPr>
            <w:tcW w:type="dxa" w:w="1152"/>
            <w:vAlign w:val="center"/>
            <w:tcMar>
              <w:top w:w="80" w:type="dxa"/>
              <w:start w:w="90" w:type="dxa"/>
              <w:bottom w:w="80" w:type="dxa"/>
              <w:end w:w="90" w:type="dxa"/>
            </w:tcMar>
            <w:shd w:fill="F3F7FA"/>
          </w:tcPr>
          <w:p>
            <w:pPr>
              <w:spacing w:after="0"/>
              <w:jc w:val="center"/>
            </w:pPr>
            <w:r/>
            <w:r>
              <w:rPr>
                <w:rFonts w:ascii="Aptos" w:hAnsi="Aptos"/>
                <w:b w:val="0"/>
                <w:color w:val="000000"/>
                <w:sz w:val="17"/>
              </w:rPr>
              <w:t>19</w:t>
            </w:r>
          </w:p>
        </w:tc>
        <w:tc>
          <w:tcPr>
            <w:tcW w:type="dxa" w:w="1080"/>
            <w:vAlign w:val="center"/>
            <w:tcMar>
              <w:top w:w="80" w:type="dxa"/>
              <w:start w:w="90" w:type="dxa"/>
              <w:bottom w:w="80" w:type="dxa"/>
              <w:end w:w="90" w:type="dxa"/>
            </w:tcMar>
            <w:shd w:fill="F3F7FA"/>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tcPr>
          <w:p>
            <w:pPr>
              <w:spacing w:after="0"/>
              <w:jc w:val="left"/>
            </w:pPr>
            <w:r/>
            <w:r>
              <w:rPr>
                <w:rFonts w:ascii="Aptos" w:hAnsi="Aptos"/>
                <w:b w:val="0"/>
                <w:color w:val="000000"/>
                <w:sz w:val="17"/>
              </w:rPr>
              <w:t>Atención hospitalaria y evaluaciones</w:t>
            </w:r>
          </w:p>
        </w:tc>
        <w:tc>
          <w:tcPr>
            <w:tcW w:type="dxa" w:w="5112"/>
            <w:vAlign w:val="center"/>
            <w:tcMar>
              <w:top w:w="80" w:type="dxa"/>
              <w:start w:w="90" w:type="dxa"/>
              <w:bottom w:w="80" w:type="dxa"/>
              <w:end w:w="90" w:type="dxa"/>
            </w:tcMar>
          </w:tcPr>
          <w:p>
            <w:pPr>
              <w:spacing w:after="0"/>
              <w:jc w:val="left"/>
            </w:pPr>
            <w:r/>
            <w:r>
              <w:rPr>
                <w:rFonts w:ascii="Aptos" w:hAnsi="Aptos"/>
                <w:b w:val="0"/>
                <w:color w:val="000000"/>
                <w:sz w:val="17"/>
              </w:rPr>
              <w:t>RWJ Barnabas Health / Trinitas Regional Medical Center</w:t>
            </w:r>
          </w:p>
        </w:tc>
        <w:tc>
          <w:tcPr>
            <w:tcW w:type="dxa" w:w="1152"/>
            <w:vAlign w:val="center"/>
            <w:tcMar>
              <w:top w:w="80" w:type="dxa"/>
              <w:start w:w="90" w:type="dxa"/>
              <w:bottom w:w="80" w:type="dxa"/>
              <w:end w:w="90" w:type="dxa"/>
            </w:tcMar>
          </w:tcPr>
          <w:p>
            <w:pPr>
              <w:spacing w:after="0"/>
              <w:jc w:val="center"/>
            </w:pPr>
            <w:r/>
            <w:r>
              <w:rPr>
                <w:rFonts w:ascii="Aptos" w:hAnsi="Aptos"/>
                <w:b w:val="0"/>
                <w:color w:val="000000"/>
                <w:sz w:val="17"/>
              </w:rPr>
              <w:t>110+</w:t>
            </w:r>
          </w:p>
        </w:tc>
        <w:tc>
          <w:tcPr>
            <w:tcW w:type="dxa" w:w="1080"/>
            <w:vAlign w:val="center"/>
            <w:tcMar>
              <w:top w:w="80" w:type="dxa"/>
              <w:start w:w="90" w:type="dxa"/>
              <w:bottom w:w="80" w:type="dxa"/>
              <w:end w:w="90" w:type="dxa"/>
            </w:tcMar>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shd w:fill="F3F7FA"/>
          </w:tcPr>
          <w:p>
            <w:pPr>
              <w:spacing w:after="0"/>
              <w:jc w:val="left"/>
            </w:pPr>
            <w:r/>
            <w:r>
              <w:rPr>
                <w:rFonts w:ascii="Aptos" w:hAnsi="Aptos"/>
                <w:b w:val="0"/>
                <w:color w:val="000000"/>
                <w:sz w:val="17"/>
              </w:rPr>
              <w:t>Información gubernamental y comunitaria</w:t>
            </w:r>
          </w:p>
        </w:tc>
        <w:tc>
          <w:tcPr>
            <w:tcW w:type="dxa" w:w="5112"/>
            <w:vAlign w:val="center"/>
            <w:tcMar>
              <w:top w:w="80" w:type="dxa"/>
              <w:start w:w="90" w:type="dxa"/>
              <w:bottom w:w="80" w:type="dxa"/>
              <w:end w:w="90" w:type="dxa"/>
            </w:tcMar>
            <w:shd w:fill="F3F7FA"/>
          </w:tcPr>
          <w:p>
            <w:pPr>
              <w:spacing w:after="0"/>
              <w:jc w:val="left"/>
            </w:pPr>
            <w:r/>
            <w:r>
              <w:rPr>
                <w:rFonts w:ascii="Aptos" w:hAnsi="Aptos"/>
                <w:b w:val="0"/>
                <w:color w:val="000000"/>
                <w:sz w:val="17"/>
              </w:rPr>
              <w:t>Union County Board of County Commissioners</w:t>
            </w:r>
          </w:p>
        </w:tc>
        <w:tc>
          <w:tcPr>
            <w:tcW w:type="dxa" w:w="1152"/>
            <w:vAlign w:val="center"/>
            <w:tcMar>
              <w:top w:w="80" w:type="dxa"/>
              <w:start w:w="90" w:type="dxa"/>
              <w:bottom w:w="80" w:type="dxa"/>
              <w:end w:w="90" w:type="dxa"/>
            </w:tcMar>
            <w:shd w:fill="F3F7FA"/>
          </w:tcPr>
          <w:p>
            <w:pPr>
              <w:spacing w:after="0"/>
              <w:jc w:val="center"/>
            </w:pPr>
            <w:r/>
            <w:r>
              <w:rPr>
                <w:rFonts w:ascii="Aptos" w:hAnsi="Aptos"/>
                <w:b w:val="0"/>
                <w:color w:val="000000"/>
                <w:sz w:val="17"/>
              </w:rPr>
              <w:t>12</w:t>
            </w:r>
          </w:p>
        </w:tc>
        <w:tc>
          <w:tcPr>
            <w:tcW w:type="dxa" w:w="1080"/>
            <w:vAlign w:val="center"/>
            <w:tcMar>
              <w:top w:w="80" w:type="dxa"/>
              <w:start w:w="90" w:type="dxa"/>
              <w:bottom w:w="80" w:type="dxa"/>
              <w:end w:w="90" w:type="dxa"/>
            </w:tcMar>
            <w:shd w:fill="F3F7FA"/>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tcPr>
          <w:p>
            <w:pPr>
              <w:spacing w:after="0"/>
              <w:jc w:val="left"/>
            </w:pPr>
            <w:r/>
            <w:r>
              <w:rPr>
                <w:rFonts w:ascii="Aptos" w:hAnsi="Aptos"/>
                <w:b w:val="0"/>
                <w:color w:val="000000"/>
                <w:sz w:val="17"/>
              </w:rPr>
              <w:t>Servicios públicos y orientación</w:t>
            </w:r>
          </w:p>
        </w:tc>
        <w:tc>
          <w:tcPr>
            <w:tcW w:type="dxa" w:w="5112"/>
            <w:vAlign w:val="center"/>
            <w:tcMar>
              <w:top w:w="80" w:type="dxa"/>
              <w:start w:w="90" w:type="dxa"/>
              <w:bottom w:w="80" w:type="dxa"/>
              <w:end w:w="90" w:type="dxa"/>
            </w:tcMar>
          </w:tcPr>
          <w:p>
            <w:pPr>
              <w:spacing w:after="0"/>
              <w:jc w:val="left"/>
            </w:pPr>
            <w:r/>
            <w:r>
              <w:rPr>
                <w:rFonts w:ascii="Aptos" w:hAnsi="Aptos"/>
                <w:b w:val="0"/>
                <w:color w:val="000000"/>
                <w:sz w:val="17"/>
              </w:rPr>
              <w:t>Elizabethtown Gas</w:t>
            </w:r>
          </w:p>
        </w:tc>
        <w:tc>
          <w:tcPr>
            <w:tcW w:type="dxa" w:w="1152"/>
            <w:vAlign w:val="center"/>
            <w:tcMar>
              <w:top w:w="80" w:type="dxa"/>
              <w:start w:w="90" w:type="dxa"/>
              <w:bottom w:w="80" w:type="dxa"/>
              <w:end w:w="90" w:type="dxa"/>
            </w:tcMar>
          </w:tcPr>
          <w:p>
            <w:pPr>
              <w:spacing w:after="0"/>
              <w:jc w:val="center"/>
            </w:pPr>
            <w:r/>
            <w:r>
              <w:rPr>
                <w:rFonts w:ascii="Aptos" w:hAnsi="Aptos"/>
                <w:b w:val="0"/>
                <w:color w:val="000000"/>
                <w:sz w:val="17"/>
              </w:rPr>
              <w:t>6</w:t>
            </w:r>
          </w:p>
        </w:tc>
        <w:tc>
          <w:tcPr>
            <w:tcW w:type="dxa" w:w="1080"/>
            <w:vAlign w:val="center"/>
            <w:tcMar>
              <w:top w:w="80" w:type="dxa"/>
              <w:start w:w="90" w:type="dxa"/>
              <w:bottom w:w="80" w:type="dxa"/>
              <w:end w:w="90" w:type="dxa"/>
            </w:tcMar>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shd w:fill="F3F7FA"/>
          </w:tcPr>
          <w:p>
            <w:pPr>
              <w:spacing w:after="0"/>
              <w:jc w:val="left"/>
            </w:pPr>
            <w:r/>
            <w:r>
              <w:rPr>
                <w:rFonts w:ascii="Aptos" w:hAnsi="Aptos"/>
                <w:b w:val="0"/>
                <w:color w:val="000000"/>
                <w:sz w:val="17"/>
              </w:rPr>
              <w:t>Empleo y desarrollo laboral</w:t>
            </w:r>
          </w:p>
        </w:tc>
        <w:tc>
          <w:tcPr>
            <w:tcW w:type="dxa" w:w="5112"/>
            <w:vAlign w:val="center"/>
            <w:tcMar>
              <w:top w:w="80" w:type="dxa"/>
              <w:start w:w="90" w:type="dxa"/>
              <w:bottom w:w="80" w:type="dxa"/>
              <w:end w:w="90" w:type="dxa"/>
            </w:tcMar>
            <w:shd w:fill="F3F7FA"/>
          </w:tcPr>
          <w:p>
            <w:pPr>
              <w:spacing w:after="0"/>
              <w:jc w:val="left"/>
            </w:pPr>
            <w:r/>
            <w:r>
              <w:rPr>
                <w:rFonts w:ascii="Aptos" w:hAnsi="Aptos"/>
                <w:b w:val="0"/>
                <w:color w:val="000000"/>
                <w:sz w:val="17"/>
              </w:rPr>
              <w:t>Workforce</w:t>
            </w:r>
          </w:p>
        </w:tc>
        <w:tc>
          <w:tcPr>
            <w:tcW w:type="dxa" w:w="1152"/>
            <w:vAlign w:val="center"/>
            <w:tcMar>
              <w:top w:w="80" w:type="dxa"/>
              <w:start w:w="90" w:type="dxa"/>
              <w:bottom w:w="80" w:type="dxa"/>
              <w:end w:w="90" w:type="dxa"/>
            </w:tcMar>
            <w:shd w:fill="F3F7FA"/>
          </w:tcPr>
          <w:p>
            <w:pPr>
              <w:spacing w:after="0"/>
              <w:jc w:val="center"/>
            </w:pPr>
            <w:r/>
            <w:r>
              <w:rPr>
                <w:rFonts w:ascii="Aptos" w:hAnsi="Aptos"/>
                <w:b w:val="0"/>
                <w:color w:val="000000"/>
                <w:sz w:val="17"/>
              </w:rPr>
              <w:t>15+</w:t>
            </w:r>
          </w:p>
        </w:tc>
        <w:tc>
          <w:tcPr>
            <w:tcW w:type="dxa" w:w="1080"/>
            <w:vAlign w:val="center"/>
            <w:tcMar>
              <w:top w:w="80" w:type="dxa"/>
              <w:start w:w="90" w:type="dxa"/>
              <w:bottom w:w="80" w:type="dxa"/>
              <w:end w:w="90" w:type="dxa"/>
            </w:tcMar>
            <w:shd w:fill="F3F7FA"/>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tcPr>
          <w:p>
            <w:pPr>
              <w:spacing w:after="0"/>
              <w:jc w:val="left"/>
            </w:pPr>
            <w:r/>
            <w:r>
              <w:rPr>
                <w:rFonts w:ascii="Aptos" w:hAnsi="Aptos"/>
                <w:b w:val="0"/>
                <w:color w:val="000000"/>
                <w:sz w:val="17"/>
              </w:rPr>
              <w:t>Cuidado domiciliario</w:t>
            </w:r>
          </w:p>
        </w:tc>
        <w:tc>
          <w:tcPr>
            <w:tcW w:type="dxa" w:w="5112"/>
            <w:vAlign w:val="center"/>
            <w:tcMar>
              <w:top w:w="80" w:type="dxa"/>
              <w:start w:w="90" w:type="dxa"/>
              <w:bottom w:w="80" w:type="dxa"/>
              <w:end w:w="90" w:type="dxa"/>
            </w:tcMar>
          </w:tcPr>
          <w:p>
            <w:pPr>
              <w:spacing w:after="0"/>
              <w:jc w:val="left"/>
            </w:pPr>
            <w:r/>
            <w:r>
              <w:rPr>
                <w:rFonts w:ascii="Aptos" w:hAnsi="Aptos"/>
                <w:b w:val="0"/>
                <w:color w:val="000000"/>
                <w:sz w:val="17"/>
              </w:rPr>
              <w:t>Elara Caring</w:t>
            </w:r>
          </w:p>
        </w:tc>
        <w:tc>
          <w:tcPr>
            <w:tcW w:type="dxa" w:w="1152"/>
            <w:vAlign w:val="center"/>
            <w:tcMar>
              <w:top w:w="80" w:type="dxa"/>
              <w:start w:w="90" w:type="dxa"/>
              <w:bottom w:w="80" w:type="dxa"/>
              <w:end w:w="90" w:type="dxa"/>
            </w:tcMar>
          </w:tcPr>
          <w:p>
            <w:pPr>
              <w:spacing w:after="0"/>
              <w:jc w:val="center"/>
            </w:pPr>
            <w:r/>
            <w:r>
              <w:rPr>
                <w:rFonts w:ascii="Aptos" w:hAnsi="Aptos"/>
                <w:b w:val="0"/>
                <w:color w:val="000000"/>
                <w:sz w:val="17"/>
              </w:rPr>
              <w:t>3</w:t>
            </w:r>
          </w:p>
        </w:tc>
        <w:tc>
          <w:tcPr>
            <w:tcW w:type="dxa" w:w="1080"/>
            <w:vAlign w:val="center"/>
            <w:tcMar>
              <w:top w:w="80" w:type="dxa"/>
              <w:start w:w="90" w:type="dxa"/>
              <w:bottom w:w="80" w:type="dxa"/>
              <w:end w:w="90" w:type="dxa"/>
            </w:tcMar>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shd w:fill="F3F7FA"/>
          </w:tcPr>
          <w:p>
            <w:pPr>
              <w:spacing w:after="0"/>
              <w:jc w:val="left"/>
            </w:pPr>
            <w:r/>
            <w:r>
              <w:rPr>
                <w:rFonts w:ascii="Aptos" w:hAnsi="Aptos"/>
                <w:b w:val="0"/>
                <w:color w:val="000000"/>
                <w:sz w:val="17"/>
              </w:rPr>
              <w:t>Salud mental y apoyo psicosocial</w:t>
            </w:r>
          </w:p>
        </w:tc>
        <w:tc>
          <w:tcPr>
            <w:tcW w:type="dxa" w:w="5112"/>
            <w:vAlign w:val="center"/>
            <w:tcMar>
              <w:top w:w="80" w:type="dxa"/>
              <w:start w:w="90" w:type="dxa"/>
              <w:bottom w:w="80" w:type="dxa"/>
              <w:end w:w="90" w:type="dxa"/>
            </w:tcMar>
            <w:shd w:fill="F3F7FA"/>
          </w:tcPr>
          <w:p>
            <w:pPr>
              <w:spacing w:after="0"/>
              <w:jc w:val="left"/>
            </w:pPr>
            <w:r/>
            <w:r>
              <w:rPr>
                <w:rFonts w:ascii="Aptos" w:hAnsi="Aptos"/>
                <w:b w:val="0"/>
                <w:color w:val="000000"/>
                <w:sz w:val="17"/>
              </w:rPr>
              <w:t>Servicios de Psicología – Maribel Guerra</w:t>
            </w:r>
          </w:p>
        </w:tc>
        <w:tc>
          <w:tcPr>
            <w:tcW w:type="dxa" w:w="1152"/>
            <w:vAlign w:val="center"/>
            <w:tcMar>
              <w:top w:w="80" w:type="dxa"/>
              <w:start w:w="90" w:type="dxa"/>
              <w:bottom w:w="80" w:type="dxa"/>
              <w:end w:w="90" w:type="dxa"/>
            </w:tcMar>
            <w:shd w:fill="F3F7FA"/>
          </w:tcPr>
          <w:p>
            <w:pPr>
              <w:spacing w:after="0"/>
              <w:jc w:val="center"/>
            </w:pPr>
            <w:r/>
            <w:r>
              <w:rPr>
                <w:rFonts w:ascii="Aptos" w:hAnsi="Aptos"/>
                <w:b w:val="0"/>
                <w:color w:val="000000"/>
                <w:sz w:val="17"/>
              </w:rPr>
              <w:t>10</w:t>
            </w:r>
          </w:p>
        </w:tc>
        <w:tc>
          <w:tcPr>
            <w:tcW w:type="dxa" w:w="1080"/>
            <w:vAlign w:val="center"/>
            <w:tcMar>
              <w:top w:w="80" w:type="dxa"/>
              <w:start w:w="90" w:type="dxa"/>
              <w:bottom w:w="80" w:type="dxa"/>
              <w:end w:w="90" w:type="dxa"/>
            </w:tcMar>
            <w:shd w:fill="F3F7FA"/>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tcPr>
          <w:p>
            <w:pPr>
              <w:spacing w:after="0"/>
              <w:jc w:val="left"/>
            </w:pPr>
            <w:r/>
            <w:r>
              <w:rPr>
                <w:rFonts w:ascii="Aptos" w:hAnsi="Aptos"/>
                <w:b w:val="0"/>
                <w:color w:val="000000"/>
                <w:sz w:val="17"/>
              </w:rPr>
              <w:t>Salud mental y apoyo psicosocial</w:t>
            </w:r>
          </w:p>
        </w:tc>
        <w:tc>
          <w:tcPr>
            <w:tcW w:type="dxa" w:w="5112"/>
            <w:vAlign w:val="center"/>
            <w:tcMar>
              <w:top w:w="80" w:type="dxa"/>
              <w:start w:w="90" w:type="dxa"/>
              <w:bottom w:w="80" w:type="dxa"/>
              <w:end w:w="90" w:type="dxa"/>
            </w:tcMar>
          </w:tcPr>
          <w:p>
            <w:pPr>
              <w:spacing w:after="0"/>
              <w:jc w:val="left"/>
            </w:pPr>
            <w:r/>
            <w:r>
              <w:rPr>
                <w:rFonts w:ascii="Aptos" w:hAnsi="Aptos"/>
                <w:b w:val="0"/>
                <w:color w:val="000000"/>
                <w:sz w:val="17"/>
              </w:rPr>
              <w:t>Servicios de Psicología – Pablo García</w:t>
            </w:r>
          </w:p>
        </w:tc>
        <w:tc>
          <w:tcPr>
            <w:tcW w:type="dxa" w:w="1152"/>
            <w:vAlign w:val="center"/>
            <w:tcMar>
              <w:top w:w="80" w:type="dxa"/>
              <w:start w:w="90" w:type="dxa"/>
              <w:bottom w:w="80" w:type="dxa"/>
              <w:end w:w="90" w:type="dxa"/>
            </w:tcMar>
          </w:tcPr>
          <w:p>
            <w:pPr>
              <w:spacing w:after="0"/>
              <w:jc w:val="center"/>
            </w:pPr>
            <w:r/>
            <w:r>
              <w:rPr>
                <w:rFonts w:ascii="Aptos" w:hAnsi="Aptos"/>
                <w:b w:val="0"/>
                <w:color w:val="000000"/>
                <w:sz w:val="17"/>
              </w:rPr>
              <w:t>5</w:t>
            </w:r>
          </w:p>
        </w:tc>
        <w:tc>
          <w:tcPr>
            <w:tcW w:type="dxa" w:w="1080"/>
            <w:vAlign w:val="center"/>
            <w:tcMar>
              <w:top w:w="80" w:type="dxa"/>
              <w:start w:w="90" w:type="dxa"/>
              <w:bottom w:w="80" w:type="dxa"/>
              <w:end w:w="90" w:type="dxa"/>
            </w:tcMar>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shd w:fill="F3F7FA"/>
          </w:tcPr>
          <w:p>
            <w:pPr>
              <w:spacing w:after="0"/>
              <w:jc w:val="left"/>
            </w:pPr>
            <w:r/>
            <w:r>
              <w:rPr>
                <w:rFonts w:ascii="Aptos" w:hAnsi="Aptos"/>
                <w:b w:val="0"/>
                <w:color w:val="000000"/>
                <w:sz w:val="17"/>
              </w:rPr>
              <w:t>Masaje terapéutico</w:t>
            </w:r>
          </w:p>
        </w:tc>
        <w:tc>
          <w:tcPr>
            <w:tcW w:type="dxa" w:w="5112"/>
            <w:vAlign w:val="center"/>
            <w:tcMar>
              <w:top w:w="80" w:type="dxa"/>
              <w:start w:w="90" w:type="dxa"/>
              <w:bottom w:w="80" w:type="dxa"/>
              <w:end w:w="90" w:type="dxa"/>
            </w:tcMar>
            <w:shd w:fill="F3F7FA"/>
          </w:tcPr>
          <w:p>
            <w:pPr>
              <w:spacing w:after="0"/>
              <w:jc w:val="left"/>
            </w:pPr>
            <w:r/>
            <w:r>
              <w:rPr>
                <w:rFonts w:ascii="Aptos" w:hAnsi="Aptos"/>
                <w:b w:val="0"/>
                <w:color w:val="000000"/>
                <w:sz w:val="17"/>
              </w:rPr>
              <w:t>Servicios de masaje – Juana Durán</w:t>
            </w:r>
          </w:p>
        </w:tc>
        <w:tc>
          <w:tcPr>
            <w:tcW w:type="dxa" w:w="1152"/>
            <w:vAlign w:val="center"/>
            <w:tcMar>
              <w:top w:w="80" w:type="dxa"/>
              <w:start w:w="90" w:type="dxa"/>
              <w:bottom w:w="80" w:type="dxa"/>
              <w:end w:w="90" w:type="dxa"/>
            </w:tcMar>
            <w:shd w:fill="F3F7FA"/>
          </w:tcPr>
          <w:p>
            <w:pPr>
              <w:spacing w:after="0"/>
              <w:jc w:val="center"/>
            </w:pPr>
            <w:r/>
            <w:r>
              <w:rPr>
                <w:rFonts w:ascii="Aptos" w:hAnsi="Aptos"/>
                <w:b w:val="0"/>
                <w:color w:val="000000"/>
                <w:sz w:val="17"/>
              </w:rPr>
              <w:t>13</w:t>
            </w:r>
          </w:p>
        </w:tc>
        <w:tc>
          <w:tcPr>
            <w:tcW w:type="dxa" w:w="1080"/>
            <w:vAlign w:val="center"/>
            <w:tcMar>
              <w:top w:w="80" w:type="dxa"/>
              <w:start w:w="90" w:type="dxa"/>
              <w:bottom w:w="80" w:type="dxa"/>
              <w:end w:w="90" w:type="dxa"/>
            </w:tcMar>
            <w:shd w:fill="F3F7FA"/>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tcPr>
          <w:p>
            <w:pPr>
              <w:spacing w:after="0"/>
              <w:jc w:val="left"/>
            </w:pPr>
            <w:r/>
            <w:r>
              <w:rPr>
                <w:rFonts w:ascii="Aptos" w:hAnsi="Aptos"/>
                <w:b w:val="0"/>
                <w:color w:val="000000"/>
                <w:sz w:val="17"/>
              </w:rPr>
              <w:t>Masaje terapéutico</w:t>
            </w:r>
          </w:p>
        </w:tc>
        <w:tc>
          <w:tcPr>
            <w:tcW w:type="dxa" w:w="5112"/>
            <w:vAlign w:val="center"/>
            <w:tcMar>
              <w:top w:w="80" w:type="dxa"/>
              <w:start w:w="90" w:type="dxa"/>
              <w:bottom w:w="80" w:type="dxa"/>
              <w:end w:w="90" w:type="dxa"/>
            </w:tcMar>
          </w:tcPr>
          <w:p>
            <w:pPr>
              <w:spacing w:after="0"/>
              <w:jc w:val="left"/>
            </w:pPr>
            <w:r/>
            <w:r>
              <w:rPr>
                <w:rFonts w:ascii="Aptos" w:hAnsi="Aptos"/>
                <w:b w:val="0"/>
                <w:color w:val="000000"/>
                <w:sz w:val="17"/>
              </w:rPr>
              <w:t>Servicios de masaje – Juana Castillo</w:t>
            </w:r>
          </w:p>
        </w:tc>
        <w:tc>
          <w:tcPr>
            <w:tcW w:type="dxa" w:w="1152"/>
            <w:vAlign w:val="center"/>
            <w:tcMar>
              <w:top w:w="80" w:type="dxa"/>
              <w:start w:w="90" w:type="dxa"/>
              <w:bottom w:w="80" w:type="dxa"/>
              <w:end w:w="90" w:type="dxa"/>
            </w:tcMar>
          </w:tcPr>
          <w:p>
            <w:pPr>
              <w:spacing w:after="0"/>
              <w:jc w:val="center"/>
            </w:pPr>
            <w:r/>
            <w:r>
              <w:rPr>
                <w:rFonts w:ascii="Aptos" w:hAnsi="Aptos"/>
                <w:b w:val="0"/>
                <w:color w:val="000000"/>
                <w:sz w:val="17"/>
              </w:rPr>
              <w:t>12</w:t>
            </w:r>
          </w:p>
        </w:tc>
        <w:tc>
          <w:tcPr>
            <w:tcW w:type="dxa" w:w="1080"/>
            <w:vAlign w:val="center"/>
            <w:tcMar>
              <w:top w:w="80" w:type="dxa"/>
              <w:start w:w="90" w:type="dxa"/>
              <w:bottom w:w="80" w:type="dxa"/>
              <w:end w:w="90" w:type="dxa"/>
            </w:tcMar>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shd w:fill="F3F7FA"/>
          </w:tcPr>
          <w:p>
            <w:pPr>
              <w:spacing w:after="0"/>
              <w:jc w:val="left"/>
            </w:pPr>
            <w:r/>
            <w:r>
              <w:rPr>
                <w:rFonts w:ascii="Aptos" w:hAnsi="Aptos"/>
                <w:b w:val="0"/>
                <w:color w:val="000000"/>
                <w:sz w:val="17"/>
              </w:rPr>
              <w:t>Servicios profesionales</w:t>
            </w:r>
          </w:p>
        </w:tc>
        <w:tc>
          <w:tcPr>
            <w:tcW w:type="dxa" w:w="5112"/>
            <w:vAlign w:val="center"/>
            <w:tcMar>
              <w:top w:w="80" w:type="dxa"/>
              <w:start w:w="90" w:type="dxa"/>
              <w:bottom w:w="80" w:type="dxa"/>
              <w:end w:w="90" w:type="dxa"/>
            </w:tcMar>
            <w:shd w:fill="F3F7FA"/>
          </w:tcPr>
          <w:p>
            <w:pPr>
              <w:spacing w:after="0"/>
              <w:jc w:val="left"/>
            </w:pPr>
            <w:r/>
            <w:r>
              <w:rPr>
                <w:rFonts w:ascii="Aptos" w:hAnsi="Aptos"/>
                <w:b w:val="0"/>
                <w:color w:val="000000"/>
                <w:sz w:val="17"/>
              </w:rPr>
              <w:t>Ernesto González</w:t>
            </w:r>
          </w:p>
        </w:tc>
        <w:tc>
          <w:tcPr>
            <w:tcW w:type="dxa" w:w="1152"/>
            <w:vAlign w:val="center"/>
            <w:tcMar>
              <w:top w:w="80" w:type="dxa"/>
              <w:start w:w="90" w:type="dxa"/>
              <w:bottom w:w="80" w:type="dxa"/>
              <w:end w:w="90" w:type="dxa"/>
            </w:tcMar>
            <w:shd w:fill="F3F7FA"/>
          </w:tcPr>
          <w:p>
            <w:pPr>
              <w:spacing w:after="0"/>
              <w:jc w:val="center"/>
            </w:pPr>
            <w:r/>
            <w:r>
              <w:rPr>
                <w:rFonts w:ascii="Aptos" w:hAnsi="Aptos"/>
                <w:b w:val="0"/>
                <w:color w:val="000000"/>
                <w:sz w:val="17"/>
              </w:rPr>
              <w:t>4</w:t>
            </w:r>
          </w:p>
        </w:tc>
        <w:tc>
          <w:tcPr>
            <w:tcW w:type="dxa" w:w="1080"/>
            <w:vAlign w:val="center"/>
            <w:tcMar>
              <w:top w:w="80" w:type="dxa"/>
              <w:start w:w="90" w:type="dxa"/>
              <w:bottom w:w="80" w:type="dxa"/>
              <w:end w:w="90" w:type="dxa"/>
            </w:tcMar>
            <w:shd w:fill="F3F7FA"/>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tcPr>
          <w:p>
            <w:pPr>
              <w:spacing w:after="0"/>
              <w:jc w:val="left"/>
            </w:pPr>
            <w:r/>
            <w:r>
              <w:rPr>
                <w:rFonts w:ascii="Aptos" w:hAnsi="Aptos"/>
                <w:b w:val="0"/>
                <w:color w:val="000000"/>
                <w:sz w:val="17"/>
              </w:rPr>
              <w:t>Medicina interna</w:t>
            </w:r>
          </w:p>
        </w:tc>
        <w:tc>
          <w:tcPr>
            <w:tcW w:type="dxa" w:w="5112"/>
            <w:vAlign w:val="center"/>
            <w:tcMar>
              <w:top w:w="80" w:type="dxa"/>
              <w:start w:w="90" w:type="dxa"/>
              <w:bottom w:w="80" w:type="dxa"/>
              <w:end w:w="90" w:type="dxa"/>
            </w:tcMar>
          </w:tcPr>
          <w:p>
            <w:pPr>
              <w:spacing w:after="0"/>
              <w:jc w:val="left"/>
            </w:pPr>
            <w:r/>
            <w:r>
              <w:rPr>
                <w:rFonts w:ascii="Aptos" w:hAnsi="Aptos"/>
                <w:b w:val="0"/>
                <w:color w:val="000000"/>
                <w:sz w:val="17"/>
              </w:rPr>
              <w:t>Dr. Erick Collado</w:t>
            </w:r>
          </w:p>
        </w:tc>
        <w:tc>
          <w:tcPr>
            <w:tcW w:type="dxa" w:w="1152"/>
            <w:vAlign w:val="center"/>
            <w:tcMar>
              <w:top w:w="80" w:type="dxa"/>
              <w:start w:w="90" w:type="dxa"/>
              <w:bottom w:w="80" w:type="dxa"/>
              <w:end w:w="90" w:type="dxa"/>
            </w:tcMar>
          </w:tcPr>
          <w:p>
            <w:pPr>
              <w:spacing w:after="0"/>
              <w:jc w:val="center"/>
            </w:pPr>
            <w:r/>
            <w:r>
              <w:rPr>
                <w:rFonts w:ascii="Aptos" w:hAnsi="Aptos"/>
                <w:b w:val="0"/>
                <w:color w:val="000000"/>
                <w:sz w:val="17"/>
              </w:rPr>
              <w:t>15</w:t>
            </w:r>
          </w:p>
        </w:tc>
        <w:tc>
          <w:tcPr>
            <w:tcW w:type="dxa" w:w="1080"/>
            <w:vAlign w:val="center"/>
            <w:tcMar>
              <w:top w:w="80" w:type="dxa"/>
              <w:start w:w="90" w:type="dxa"/>
              <w:bottom w:w="80" w:type="dxa"/>
              <w:end w:w="90" w:type="dxa"/>
            </w:tcMar>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shd w:fill="F3F7FA"/>
          </w:tcPr>
          <w:p>
            <w:pPr>
              <w:spacing w:after="0"/>
              <w:jc w:val="left"/>
            </w:pPr>
            <w:r/>
            <w:r>
              <w:rPr>
                <w:rFonts w:ascii="Aptos" w:hAnsi="Aptos"/>
                <w:b w:val="0"/>
                <w:color w:val="000000"/>
                <w:sz w:val="17"/>
              </w:rPr>
              <w:t>Medicina general</w:t>
            </w:r>
          </w:p>
        </w:tc>
        <w:tc>
          <w:tcPr>
            <w:tcW w:type="dxa" w:w="5112"/>
            <w:vAlign w:val="center"/>
            <w:tcMar>
              <w:top w:w="80" w:type="dxa"/>
              <w:start w:w="90" w:type="dxa"/>
              <w:bottom w:w="80" w:type="dxa"/>
              <w:end w:w="90" w:type="dxa"/>
            </w:tcMar>
            <w:shd w:fill="F3F7FA"/>
          </w:tcPr>
          <w:p>
            <w:pPr>
              <w:spacing w:after="0"/>
              <w:jc w:val="left"/>
            </w:pPr>
            <w:r/>
            <w:r>
              <w:rPr>
                <w:rFonts w:ascii="Aptos" w:hAnsi="Aptos"/>
                <w:b w:val="0"/>
                <w:color w:val="000000"/>
                <w:sz w:val="17"/>
              </w:rPr>
              <w:t>Lic. Alicia Castillo</w:t>
            </w:r>
          </w:p>
        </w:tc>
        <w:tc>
          <w:tcPr>
            <w:tcW w:type="dxa" w:w="1152"/>
            <w:vAlign w:val="center"/>
            <w:tcMar>
              <w:top w:w="80" w:type="dxa"/>
              <w:start w:w="90" w:type="dxa"/>
              <w:bottom w:w="80" w:type="dxa"/>
              <w:end w:w="90" w:type="dxa"/>
            </w:tcMar>
            <w:shd w:fill="F3F7FA"/>
          </w:tcPr>
          <w:p>
            <w:pPr>
              <w:spacing w:after="0"/>
              <w:jc w:val="center"/>
            </w:pPr>
            <w:r/>
            <w:r>
              <w:rPr>
                <w:rFonts w:ascii="Aptos" w:hAnsi="Aptos"/>
                <w:b w:val="0"/>
                <w:color w:val="000000"/>
                <w:sz w:val="17"/>
              </w:rPr>
              <w:t>7</w:t>
            </w:r>
          </w:p>
        </w:tc>
        <w:tc>
          <w:tcPr>
            <w:tcW w:type="dxa" w:w="1080"/>
            <w:vAlign w:val="center"/>
            <w:tcMar>
              <w:top w:w="80" w:type="dxa"/>
              <w:start w:w="90" w:type="dxa"/>
              <w:bottom w:w="80" w:type="dxa"/>
              <w:end w:w="90" w:type="dxa"/>
            </w:tcMar>
            <w:shd w:fill="F3F7FA"/>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tcPr>
          <w:p>
            <w:pPr>
              <w:spacing w:after="0"/>
              <w:jc w:val="left"/>
            </w:pPr>
            <w:r/>
            <w:r>
              <w:rPr>
                <w:rFonts w:ascii="Aptos" w:hAnsi="Aptos"/>
                <w:b w:val="0"/>
                <w:color w:val="000000"/>
                <w:sz w:val="17"/>
              </w:rPr>
              <w:t>Medicina general</w:t>
            </w:r>
          </w:p>
        </w:tc>
        <w:tc>
          <w:tcPr>
            <w:tcW w:type="dxa" w:w="5112"/>
            <w:vAlign w:val="center"/>
            <w:tcMar>
              <w:top w:w="80" w:type="dxa"/>
              <w:start w:w="90" w:type="dxa"/>
              <w:bottom w:w="80" w:type="dxa"/>
              <w:end w:w="90" w:type="dxa"/>
            </w:tcMar>
          </w:tcPr>
          <w:p>
            <w:pPr>
              <w:spacing w:after="0"/>
              <w:jc w:val="left"/>
            </w:pPr>
            <w:r/>
            <w:r>
              <w:rPr>
                <w:rFonts w:ascii="Aptos" w:hAnsi="Aptos"/>
                <w:b w:val="0"/>
                <w:color w:val="000000"/>
                <w:sz w:val="17"/>
              </w:rPr>
              <w:t>Mesa médica 1 – Dres. Sánchez, Suárez, Almonte, Plata y colaboradores</w:t>
            </w:r>
          </w:p>
        </w:tc>
        <w:tc>
          <w:tcPr>
            <w:tcW w:type="dxa" w:w="1152"/>
            <w:vAlign w:val="center"/>
            <w:tcMar>
              <w:top w:w="80" w:type="dxa"/>
              <w:start w:w="90" w:type="dxa"/>
              <w:bottom w:w="80" w:type="dxa"/>
              <w:end w:w="90" w:type="dxa"/>
            </w:tcMar>
          </w:tcPr>
          <w:p>
            <w:pPr>
              <w:spacing w:after="0"/>
              <w:jc w:val="center"/>
            </w:pPr>
            <w:r/>
            <w:r>
              <w:rPr>
                <w:rFonts w:ascii="Aptos" w:hAnsi="Aptos"/>
                <w:b w:val="0"/>
                <w:color w:val="000000"/>
                <w:sz w:val="17"/>
              </w:rPr>
              <w:t>54</w:t>
            </w:r>
          </w:p>
        </w:tc>
        <w:tc>
          <w:tcPr>
            <w:tcW w:type="dxa" w:w="1080"/>
            <w:vAlign w:val="center"/>
            <w:tcMar>
              <w:top w:w="80" w:type="dxa"/>
              <w:start w:w="90" w:type="dxa"/>
              <w:bottom w:w="80" w:type="dxa"/>
              <w:end w:w="90" w:type="dxa"/>
            </w:tcMar>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shd w:fill="F3F7FA"/>
          </w:tcPr>
          <w:p>
            <w:pPr>
              <w:spacing w:after="0"/>
              <w:jc w:val="left"/>
            </w:pPr>
            <w:r/>
            <w:r>
              <w:rPr>
                <w:rFonts w:ascii="Aptos" w:hAnsi="Aptos"/>
                <w:b w:val="0"/>
                <w:color w:val="000000"/>
                <w:sz w:val="17"/>
              </w:rPr>
              <w:t>Medicina general</w:t>
            </w:r>
          </w:p>
        </w:tc>
        <w:tc>
          <w:tcPr>
            <w:tcW w:type="dxa" w:w="5112"/>
            <w:vAlign w:val="center"/>
            <w:tcMar>
              <w:top w:w="80" w:type="dxa"/>
              <w:start w:w="90" w:type="dxa"/>
              <w:bottom w:w="80" w:type="dxa"/>
              <w:end w:w="90" w:type="dxa"/>
            </w:tcMar>
            <w:shd w:fill="F3F7FA"/>
          </w:tcPr>
          <w:p>
            <w:pPr>
              <w:spacing w:after="0"/>
              <w:jc w:val="left"/>
            </w:pPr>
            <w:r/>
            <w:r>
              <w:rPr>
                <w:rFonts w:ascii="Aptos" w:hAnsi="Aptos"/>
                <w:b w:val="0"/>
                <w:color w:val="000000"/>
                <w:sz w:val="17"/>
              </w:rPr>
              <w:t>Mesa médica 2 – Dres. Sánchez, Suárez, Almonte, Plata y colaboradores</w:t>
            </w:r>
          </w:p>
        </w:tc>
        <w:tc>
          <w:tcPr>
            <w:tcW w:type="dxa" w:w="1152"/>
            <w:vAlign w:val="center"/>
            <w:tcMar>
              <w:top w:w="80" w:type="dxa"/>
              <w:start w:w="90" w:type="dxa"/>
              <w:bottom w:w="80" w:type="dxa"/>
              <w:end w:w="90" w:type="dxa"/>
            </w:tcMar>
            <w:shd w:fill="F3F7FA"/>
          </w:tcPr>
          <w:p>
            <w:pPr>
              <w:spacing w:after="0"/>
              <w:jc w:val="center"/>
            </w:pPr>
            <w:r/>
            <w:r>
              <w:rPr>
                <w:rFonts w:ascii="Aptos" w:hAnsi="Aptos"/>
                <w:b w:val="0"/>
                <w:color w:val="000000"/>
                <w:sz w:val="17"/>
              </w:rPr>
              <w:t>42</w:t>
            </w:r>
          </w:p>
        </w:tc>
        <w:tc>
          <w:tcPr>
            <w:tcW w:type="dxa" w:w="1080"/>
            <w:vAlign w:val="center"/>
            <w:tcMar>
              <w:top w:w="80" w:type="dxa"/>
              <w:start w:w="90" w:type="dxa"/>
              <w:bottom w:w="80" w:type="dxa"/>
              <w:end w:w="90" w:type="dxa"/>
            </w:tcMar>
            <w:shd w:fill="F3F7FA"/>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tcPr>
          <w:p>
            <w:pPr>
              <w:spacing w:after="0"/>
              <w:jc w:val="left"/>
            </w:pPr>
            <w:r/>
            <w:r>
              <w:rPr>
                <w:rFonts w:ascii="Aptos" w:hAnsi="Aptos"/>
                <w:b w:val="0"/>
                <w:color w:val="000000"/>
                <w:sz w:val="17"/>
              </w:rPr>
              <w:t>Salud oral</w:t>
            </w:r>
          </w:p>
        </w:tc>
        <w:tc>
          <w:tcPr>
            <w:tcW w:type="dxa" w:w="5112"/>
            <w:vAlign w:val="center"/>
            <w:tcMar>
              <w:top w:w="80" w:type="dxa"/>
              <w:start w:w="90" w:type="dxa"/>
              <w:bottom w:w="80" w:type="dxa"/>
              <w:end w:w="90" w:type="dxa"/>
            </w:tcMar>
          </w:tcPr>
          <w:p>
            <w:pPr>
              <w:spacing w:after="0"/>
              <w:jc w:val="left"/>
            </w:pPr>
            <w:r/>
            <w:r>
              <w:rPr>
                <w:rFonts w:ascii="Aptos" w:hAnsi="Aptos"/>
                <w:b w:val="0"/>
                <w:color w:val="000000"/>
                <w:sz w:val="17"/>
              </w:rPr>
              <w:t>Servicios dentales</w:t>
            </w:r>
          </w:p>
        </w:tc>
        <w:tc>
          <w:tcPr>
            <w:tcW w:type="dxa" w:w="1152"/>
            <w:vAlign w:val="center"/>
            <w:tcMar>
              <w:top w:w="80" w:type="dxa"/>
              <w:start w:w="90" w:type="dxa"/>
              <w:bottom w:w="80" w:type="dxa"/>
              <w:end w:w="90" w:type="dxa"/>
            </w:tcMar>
          </w:tcPr>
          <w:p>
            <w:pPr>
              <w:spacing w:after="0"/>
              <w:jc w:val="center"/>
            </w:pPr>
            <w:r/>
            <w:r>
              <w:rPr>
                <w:rFonts w:ascii="Aptos" w:hAnsi="Aptos"/>
                <w:b w:val="0"/>
                <w:color w:val="000000"/>
                <w:sz w:val="17"/>
              </w:rPr>
              <w:t>102</w:t>
            </w:r>
          </w:p>
        </w:tc>
        <w:tc>
          <w:tcPr>
            <w:tcW w:type="dxa" w:w="1080"/>
            <w:vAlign w:val="center"/>
            <w:tcMar>
              <w:top w:w="80" w:type="dxa"/>
              <w:start w:w="90" w:type="dxa"/>
              <w:bottom w:w="80" w:type="dxa"/>
              <w:end w:w="90" w:type="dxa"/>
            </w:tcMar>
          </w:tcPr>
          <w:p>
            <w:pPr>
              <w:spacing w:after="0"/>
              <w:jc w:val="center"/>
            </w:pPr>
            <w:r/>
            <w:r>
              <w:rPr>
                <w:rFonts w:ascii="Aptos" w:hAnsi="Aptos"/>
                <w:b w:val="0"/>
                <w:color w:val="000000"/>
                <w:sz w:val="17"/>
              </w:rPr>
              <w:t>Preliminar</w:t>
            </w:r>
          </w:p>
        </w:tc>
      </w:tr>
      <w:tr>
        <w:tc>
          <w:tcPr>
            <w:tcW w:type="dxa" w:w="3168"/>
            <w:vAlign w:val="center"/>
            <w:tcMar>
              <w:top w:w="80" w:type="dxa"/>
              <w:start w:w="90" w:type="dxa"/>
              <w:bottom w:w="80" w:type="dxa"/>
              <w:end w:w="90" w:type="dxa"/>
            </w:tcMar>
            <w:shd w:fill="F3F7FA"/>
          </w:tcPr>
          <w:p>
            <w:pPr>
              <w:spacing w:after="0"/>
              <w:jc w:val="left"/>
            </w:pPr>
            <w:r/>
            <w:r>
              <w:rPr>
                <w:rFonts w:ascii="Aptos" w:hAnsi="Aptos"/>
                <w:b w:val="0"/>
                <w:color w:val="000000"/>
                <w:sz w:val="17"/>
              </w:rPr>
              <w:t>Área infantil y recreativa</w:t>
            </w:r>
          </w:p>
        </w:tc>
        <w:tc>
          <w:tcPr>
            <w:tcW w:type="dxa" w:w="5112"/>
            <w:vAlign w:val="center"/>
            <w:tcMar>
              <w:top w:w="80" w:type="dxa"/>
              <w:start w:w="90" w:type="dxa"/>
              <w:bottom w:w="80" w:type="dxa"/>
              <w:end w:w="90" w:type="dxa"/>
            </w:tcMar>
            <w:shd w:fill="F3F7FA"/>
          </w:tcPr>
          <w:p>
            <w:pPr>
              <w:spacing w:after="0"/>
              <w:jc w:val="left"/>
            </w:pPr>
            <w:r/>
            <w:r>
              <w:rPr>
                <w:rFonts w:ascii="Aptos" w:hAnsi="Aptos"/>
                <w:b w:val="0"/>
                <w:color w:val="000000"/>
                <w:sz w:val="17"/>
              </w:rPr>
              <w:t>Pintura de caritas – Artista Cristina Hoyos</w:t>
            </w:r>
          </w:p>
        </w:tc>
        <w:tc>
          <w:tcPr>
            <w:tcW w:type="dxa" w:w="1152"/>
            <w:vAlign w:val="center"/>
            <w:tcMar>
              <w:top w:w="80" w:type="dxa"/>
              <w:start w:w="90" w:type="dxa"/>
              <w:bottom w:w="80" w:type="dxa"/>
              <w:end w:w="90" w:type="dxa"/>
            </w:tcMar>
            <w:shd w:fill="F3F7FA"/>
          </w:tcPr>
          <w:p>
            <w:pPr>
              <w:spacing w:after="0"/>
              <w:jc w:val="center"/>
            </w:pPr>
            <w:r/>
            <w:r>
              <w:rPr>
                <w:rFonts w:ascii="Aptos" w:hAnsi="Aptos"/>
                <w:b w:val="0"/>
                <w:color w:val="000000"/>
                <w:sz w:val="17"/>
              </w:rPr>
              <w:t>25</w:t>
            </w:r>
          </w:p>
        </w:tc>
        <w:tc>
          <w:tcPr>
            <w:tcW w:type="dxa" w:w="1080"/>
            <w:vAlign w:val="center"/>
            <w:tcMar>
              <w:top w:w="80" w:type="dxa"/>
              <w:start w:w="90" w:type="dxa"/>
              <w:bottom w:w="80" w:type="dxa"/>
              <w:end w:w="90" w:type="dxa"/>
            </w:tcMar>
            <w:shd w:fill="F3F7FA"/>
          </w:tcPr>
          <w:p>
            <w:pPr>
              <w:spacing w:after="0"/>
              <w:jc w:val="center"/>
            </w:pPr>
            <w:r/>
            <w:r>
              <w:rPr>
                <w:rFonts w:ascii="Aptos" w:hAnsi="Aptos"/>
                <w:b w:val="0"/>
                <w:color w:val="000000"/>
                <w:sz w:val="17"/>
              </w:rPr>
              <w:t>Preliminar</w:t>
            </w:r>
          </w:p>
        </w:tc>
      </w:tr>
    </w:tbl>
    <w:p>
      <w:r>
        <w:br w:type="page"/>
      </w:r>
    </w:p>
    <w:p>
      <w:pPr>
        <w:pStyle w:val="ReportHeading1"/>
      </w:pPr>
      <w:r>
        <w:t>2. Resumen interpretativo de resultados</w:t>
      </w:r>
    </w:p>
    <w:p>
      <w:pPr>
        <w:pStyle w:val="ReportHeading2"/>
      </w:pPr>
      <w:r>
        <w:t>Servicios clínicos, hospitalarios y dentales</w:t>
      </w:r>
    </w:p>
    <w:p>
      <w:pPr>
        <w:jc w:val="both"/>
      </w:pPr>
      <w:r>
        <w:t>La mayor concentración se observó en las mesas de atención hospitalaria, evaluaciones generales, medicina interna, medicina general y salud oral. Los servicios dentales reportaron 102 atenciones; RWJ Barnabas Health/Trinitas Regional Medical Center, 110+; Trinitas Health, 100+; las dos mesas de medicina general, 96 atenciones combinadas; y el Departamento de Diálisis, 20.</w:t>
      </w:r>
    </w:p>
    <w:p>
      <w:pPr>
        <w:pStyle w:val="ReportHeading2"/>
      </w:pPr>
      <w:r>
        <w:t>Prevención, educación y beneficios sociales</w:t>
      </w:r>
    </w:p>
    <w:p>
      <w:pPr>
        <w:jc w:val="both"/>
      </w:pPr>
      <w:r>
        <w:t>WIC registró 65 orientaciones; Proceed Inc., 38; NJ SNAP, 19; Workforce, 15+; UnitedHealthcare, 16; y otras entidades brindaron información sobre prevención de sobredosis, recursos gubernamentales, servicios públicos, inmigración, empleo y apoyo comunitario.</w:t>
      </w:r>
    </w:p>
    <w:p>
      <w:pPr>
        <w:pStyle w:val="ReportHeading2"/>
      </w:pPr>
      <w:r>
        <w:t>Salud mental y bienestar integral</w:t>
      </w:r>
    </w:p>
    <w:p>
      <w:pPr>
        <w:jc w:val="both"/>
      </w:pPr>
      <w:r>
        <w:t>Las mesas de psicología y NAMI NJ en Español ofrecieron orientación emocional y apoyo psicosocial. También se ofrecieron terapias complementarias, masaje terapéutico, Reiki y regeneración celular, ampliando el enfoque integral de bienestar.</w:t>
      </w:r>
    </w:p>
    <w:p>
      <w:pPr>
        <w:pStyle w:val="ReportHeading2"/>
      </w:pPr>
      <w:r>
        <w:t>Área infantil</w:t>
      </w:r>
    </w:p>
    <w:p>
      <w:pPr>
        <w:jc w:val="both"/>
      </w:pPr>
      <w:r>
        <w:t>La pintora Cristina Hoyos atendió a 25 niños mediante la actividad de pintura de caritas, creando un espacio alegre, seguro y familiar que enriqueció la experiencia de los asistentes y facilitó la participación de padres y cuidadores en los demás servicios.</w:t>
      </w:r>
    </w:p>
    <w:p>
      <w:pPr>
        <w:pStyle w:val="ReportHeading1"/>
      </w:pPr>
      <w:r>
        <w:t>3. Observaciones preliminares</w:t>
      </w:r>
    </w:p>
    <w:p>
      <w:pPr>
        <w:ind w:left="288" w:hanging="216"/>
      </w:pPr>
      <w:r>
        <w:rPr>
          <w:b/>
        </w:rPr>
        <w:t xml:space="preserve">• </w:t>
      </w:r>
      <w:r>
        <w:t>La cifra documentada alcanza un mínimo de 767 interacciones de servicio, incluyendo 742+ atenciones reportadas por instituciones y mesas, más 25 niños atendidos en el área recreativa.</w:t>
      </w:r>
    </w:p>
    <w:p>
      <w:pPr>
        <w:ind w:left="288" w:hanging="216"/>
      </w:pPr>
      <w:r>
        <w:rPr>
          <w:b/>
        </w:rPr>
        <w:t xml:space="preserve">• </w:t>
      </w:r>
      <w:r>
        <w:t>El total no debe interpretarse como número de asistentes únicos, debido a que una misma persona pudo utilizar varios servicios.</w:t>
      </w:r>
    </w:p>
    <w:p>
      <w:pPr>
        <w:ind w:left="288" w:hanging="216"/>
      </w:pPr>
      <w:r>
        <w:rPr>
          <w:b/>
        </w:rPr>
        <w:t xml:space="preserve">• </w:t>
      </w:r>
      <w:r>
        <w:t>Las cifras con “+” están sujetas a validación y podrían aumentar en el informe final.</w:t>
      </w:r>
    </w:p>
    <w:p>
      <w:pPr>
        <w:ind w:left="288" w:hanging="216"/>
      </w:pPr>
      <w:r>
        <w:rPr>
          <w:b/>
        </w:rPr>
        <w:t xml:space="preserve">• </w:t>
      </w:r>
      <w:r>
        <w:t>Se recomienda continuar recopilando formularios pendientes, depurar posibles duplicados y consolidar los registros de referimientos y resultados anormales.</w:t>
      </w:r>
    </w:p>
    <w:p>
      <w:pPr>
        <w:pStyle w:val="ReportHeading1"/>
      </w:pPr>
      <w:r>
        <w:t>4. Agradecimiento a las agencias e instituciones participantes</w:t>
      </w:r>
    </w:p>
    <w:p>
      <w:pPr>
        <w:jc w:val="both"/>
      </w:pPr>
      <w:r>
        <w:t>AHPSI y las organizaciones coordinadoras expresan su profundo agradecimiento a cada hospital, agencia, empresa, profesional, organización comunitaria y voluntario que hizo posible esta jornada. Su presencia permitió acercar servicios de prevención, educación, orientación, evaluación clínica, apoyo social y bienestar a la comunidad de Elizabeth.</w:t>
      </w:r>
    </w:p>
    <w:p>
      <w:pPr>
        <w:jc w:val="both"/>
      </w:pPr>
      <w:r>
        <w:rPr>
          <w:sz w:val="19"/>
        </w:rPr>
        <w:t>Varon Care, Bayada Home Health Care, Trinitas Health, Union County Savings Bank, NAMI NJ en Español, UnitedHealthcare, Programa WIC, Proceed Inc., ONA – Servicios de Inmigración, NJ SNAP, RWJ Barnabas Health / Trinitas Regional Medical Center, Union County Board of County Commissioners, Elizabethtown Gas, Workforce, Elara Caring, Departamento de Diálisis de Trinitas Health, profesionales de psicología, medicina interna y medicina general, equipos de masaje y terapias complementarias, servicios dentales, y la artista Cristina Hoyos y todos los colaboradores comunitarios.</w:t>
      </w:r>
    </w:p>
    <w:p>
      <w:pPr>
        <w:pStyle w:val="ReportHeading1"/>
      </w:pPr>
      <w:r>
        <w:t>5. Reconocimiento al Comité Organizador</w:t>
      </w:r>
    </w:p>
    <w:p>
      <w:pPr>
        <w:jc w:val="both"/>
      </w:pPr>
      <w:r>
        <w:t>Nuestro reconocimiento especial a los miembros del Comité Organizador, cuyo liderazgo, tiempo, coordinación y espíritu de servicio fueron esenciales antes, durante y después de la feria. La XIII Feria Anual de Salud fue el resultado de un esfuerzo colectivo comprometido con la prevención, la educación y el acceso comunitario a servicios de salud.</w:t>
      </w:r>
    </w:p>
    <w:tbl>
      <w:tblPr>
        <w:tblW w:type="auto" w:w="0"/>
        <w:jc w:val="center"/>
        <w:tblLayout w:type="fixed"/>
        <w:tblLook w:firstColumn="1" w:firstRow="1" w:lastColumn="0" w:lastRow="0" w:noHBand="0" w:noVBand="1" w:val="04A0"/>
      </w:tblPr>
      <w:tblGrid>
        <w:gridCol w:w="5328"/>
        <w:gridCol w:w="5328"/>
      </w:tblGrid>
      <w:tr>
        <w:tc>
          <w:tcPr>
            <w:tcW w:type="dxa" w:w="5328"/>
            <w:vAlign w:val="center"/>
            <w:tcMar>
              <w:top w:w="80" w:type="dxa"/>
              <w:start w:w="90" w:type="dxa"/>
              <w:bottom w:w="80" w:type="dxa"/>
              <w:end w:w="90" w:type="dxa"/>
            </w:tcMar>
            <w:shd w:fill="F5F9FC"/>
          </w:tcPr>
          <w:p>
            <w:pPr>
              <w:spacing w:after="0"/>
              <w:jc w:val="left"/>
            </w:pPr>
            <w:r/>
            <w:r>
              <w:rPr>
                <w:rFonts w:ascii="Aptos" w:hAnsi="Aptos"/>
                <w:b w:val="0"/>
                <w:color w:val="17365D"/>
                <w:sz w:val="20"/>
              </w:rPr>
              <w:t>Lic. Raymundo De la Rosa</w:t>
            </w:r>
          </w:p>
        </w:tc>
        <w:tc>
          <w:tcPr>
            <w:tcW w:type="dxa" w:w="5328"/>
            <w:vAlign w:val="center"/>
            <w:tcMar>
              <w:top w:w="80" w:type="dxa"/>
              <w:start w:w="90" w:type="dxa"/>
              <w:bottom w:w="80" w:type="dxa"/>
              <w:end w:w="90" w:type="dxa"/>
            </w:tcMar>
            <w:shd w:fill="F5F9FC"/>
          </w:tcPr>
          <w:p>
            <w:pPr>
              <w:spacing w:after="0"/>
              <w:jc w:val="left"/>
            </w:pPr>
            <w:r/>
            <w:r>
              <w:rPr>
                <w:rFonts w:ascii="Aptos" w:hAnsi="Aptos"/>
                <w:b w:val="0"/>
                <w:color w:val="17365D"/>
                <w:sz w:val="20"/>
              </w:rPr>
              <w:t>Mr. Carlos Genao</w:t>
            </w:r>
          </w:p>
        </w:tc>
      </w:tr>
      <w:tr>
        <w:tc>
          <w:tcPr>
            <w:tcW w:type="dxa" w:w="5328"/>
            <w:vAlign w:val="center"/>
            <w:tcMar>
              <w:top w:w="80" w:type="dxa"/>
              <w:start w:w="90" w:type="dxa"/>
              <w:bottom w:w="80" w:type="dxa"/>
              <w:end w:w="90" w:type="dxa"/>
            </w:tcMar>
            <w:shd w:fill="FFFFFF"/>
          </w:tcPr>
          <w:p>
            <w:pPr>
              <w:spacing w:after="0"/>
              <w:jc w:val="left"/>
            </w:pPr>
            <w:r/>
            <w:r>
              <w:rPr>
                <w:rFonts w:ascii="Aptos" w:hAnsi="Aptos"/>
                <w:b w:val="0"/>
                <w:color w:val="17365D"/>
                <w:sz w:val="20"/>
              </w:rPr>
              <w:t>Mr. Daniel Martínez</w:t>
            </w:r>
          </w:p>
        </w:tc>
        <w:tc>
          <w:tcPr>
            <w:tcW w:type="dxa" w:w="5328"/>
            <w:vAlign w:val="center"/>
            <w:tcMar>
              <w:top w:w="80" w:type="dxa"/>
              <w:start w:w="90" w:type="dxa"/>
              <w:bottom w:w="80" w:type="dxa"/>
              <w:end w:w="90" w:type="dxa"/>
            </w:tcMar>
            <w:shd w:fill="FFFFFF"/>
          </w:tcPr>
          <w:p>
            <w:pPr>
              <w:spacing w:after="0"/>
              <w:jc w:val="left"/>
            </w:pPr>
            <w:r/>
            <w:r>
              <w:rPr>
                <w:rFonts w:ascii="Aptos" w:hAnsi="Aptos"/>
                <w:b w:val="0"/>
                <w:color w:val="17365D"/>
                <w:sz w:val="20"/>
              </w:rPr>
              <w:t>Dra. Lourdes Piña</w:t>
            </w:r>
          </w:p>
        </w:tc>
      </w:tr>
      <w:tr>
        <w:tc>
          <w:tcPr>
            <w:tcW w:type="dxa" w:w="5328"/>
            <w:vAlign w:val="center"/>
            <w:tcMar>
              <w:top w:w="80" w:type="dxa"/>
              <w:start w:w="90" w:type="dxa"/>
              <w:bottom w:w="80" w:type="dxa"/>
              <w:end w:w="90" w:type="dxa"/>
            </w:tcMar>
            <w:shd w:fill="F5F9FC"/>
          </w:tcPr>
          <w:p>
            <w:pPr>
              <w:spacing w:after="0"/>
              <w:jc w:val="left"/>
            </w:pPr>
            <w:r/>
            <w:r>
              <w:rPr>
                <w:rFonts w:ascii="Aptos" w:hAnsi="Aptos"/>
                <w:b w:val="0"/>
                <w:color w:val="17365D"/>
                <w:sz w:val="20"/>
              </w:rPr>
              <w:t>Sra. Yamely Balcácer</w:t>
            </w:r>
          </w:p>
        </w:tc>
        <w:tc>
          <w:tcPr>
            <w:tcW w:type="dxa" w:w="5328"/>
            <w:vAlign w:val="center"/>
            <w:tcMar>
              <w:top w:w="80" w:type="dxa"/>
              <w:start w:w="90" w:type="dxa"/>
              <w:bottom w:w="80" w:type="dxa"/>
              <w:end w:w="90" w:type="dxa"/>
            </w:tcMar>
            <w:shd w:fill="F5F9FC"/>
          </w:tcPr>
          <w:p>
            <w:pPr>
              <w:spacing w:after="0"/>
              <w:jc w:val="left"/>
            </w:pPr>
            <w:r/>
            <w:r>
              <w:rPr>
                <w:rFonts w:ascii="Aptos" w:hAnsi="Aptos"/>
                <w:b w:val="0"/>
                <w:color w:val="17365D"/>
                <w:sz w:val="20"/>
              </w:rPr>
              <w:t>Sra. Rossiris Ortiz</w:t>
            </w:r>
          </w:p>
        </w:tc>
      </w:tr>
      <w:tr>
        <w:tc>
          <w:tcPr>
            <w:tcW w:type="dxa" w:w="5328"/>
            <w:vAlign w:val="center"/>
            <w:tcMar>
              <w:top w:w="80" w:type="dxa"/>
              <w:start w:w="90" w:type="dxa"/>
              <w:bottom w:w="80" w:type="dxa"/>
              <w:end w:w="90" w:type="dxa"/>
            </w:tcMar>
            <w:shd w:fill="FFFFFF"/>
          </w:tcPr>
          <w:p>
            <w:pPr>
              <w:spacing w:after="0"/>
              <w:jc w:val="left"/>
            </w:pPr>
            <w:r/>
            <w:r>
              <w:rPr>
                <w:rFonts w:ascii="Aptos" w:hAnsi="Aptos"/>
                <w:b w:val="0"/>
                <w:color w:val="17365D"/>
                <w:sz w:val="20"/>
              </w:rPr>
              <w:t>Sra. Andrea Alonso</w:t>
            </w:r>
          </w:p>
        </w:tc>
        <w:tc>
          <w:tcPr>
            <w:tcW w:type="dxa" w:w="5328"/>
            <w:vAlign w:val="center"/>
            <w:tcMar>
              <w:top w:w="80" w:type="dxa"/>
              <w:start w:w="90" w:type="dxa"/>
              <w:bottom w:w="80" w:type="dxa"/>
              <w:end w:w="90" w:type="dxa"/>
            </w:tcMar>
            <w:shd w:fill="FFFFFF"/>
          </w:tcPr>
          <w:p>
            <w:pPr>
              <w:spacing w:after="0"/>
              <w:jc w:val="left"/>
            </w:pPr>
            <w:r/>
            <w:r>
              <w:rPr>
                <w:rFonts w:ascii="Aptos" w:hAnsi="Aptos"/>
                <w:b w:val="0"/>
                <w:color w:val="17365D"/>
                <w:sz w:val="20"/>
              </w:rPr>
              <w:t>Sra. Delsia Castillo</w:t>
            </w:r>
          </w:p>
        </w:tc>
      </w:tr>
      <w:tr>
        <w:tc>
          <w:tcPr>
            <w:tcW w:type="dxa" w:w="5328"/>
            <w:vAlign w:val="center"/>
            <w:tcMar>
              <w:top w:w="80" w:type="dxa"/>
              <w:start w:w="90" w:type="dxa"/>
              <w:bottom w:w="80" w:type="dxa"/>
              <w:end w:w="90" w:type="dxa"/>
            </w:tcMar>
            <w:shd w:fill="F5F9FC"/>
          </w:tcPr>
          <w:p>
            <w:pPr>
              <w:spacing w:after="0"/>
              <w:jc w:val="left"/>
            </w:pPr>
            <w:r/>
            <w:r>
              <w:rPr>
                <w:rFonts w:ascii="Aptos" w:hAnsi="Aptos"/>
                <w:b w:val="0"/>
                <w:color w:val="17365D"/>
                <w:sz w:val="20"/>
              </w:rPr>
              <w:t>Lic. Elba Rosa García</w:t>
            </w:r>
          </w:p>
        </w:tc>
        <w:tc>
          <w:tcPr>
            <w:tcW w:type="dxa" w:w="5328"/>
            <w:vAlign w:val="center"/>
            <w:tcMar>
              <w:top w:w="80" w:type="dxa"/>
              <w:start w:w="90" w:type="dxa"/>
              <w:bottom w:w="80" w:type="dxa"/>
              <w:end w:w="90" w:type="dxa"/>
            </w:tcMar>
            <w:shd w:fill="F5F9FC"/>
          </w:tcPr>
          <w:p>
            <w:pPr>
              <w:spacing w:after="0"/>
              <w:jc w:val="left"/>
            </w:pPr>
            <w:r/>
            <w:r>
              <w:rPr>
                <w:rFonts w:ascii="Aptos" w:hAnsi="Aptos"/>
                <w:b w:val="0"/>
                <w:color w:val="17365D"/>
                <w:sz w:val="20"/>
              </w:rPr>
              <w:t>Sra. Esther Cruz</w:t>
            </w:r>
          </w:p>
        </w:tc>
      </w:tr>
      <w:tr>
        <w:tc>
          <w:tcPr>
            <w:tcW w:type="dxa" w:w="5328"/>
            <w:vAlign w:val="center"/>
            <w:tcMar>
              <w:top w:w="80" w:type="dxa"/>
              <w:start w:w="90" w:type="dxa"/>
              <w:bottom w:w="80" w:type="dxa"/>
              <w:end w:w="90" w:type="dxa"/>
            </w:tcMar>
            <w:shd w:fill="FFFFFF"/>
          </w:tcPr>
          <w:p>
            <w:pPr>
              <w:spacing w:after="0"/>
              <w:jc w:val="left"/>
            </w:pPr>
            <w:r/>
            <w:r>
              <w:rPr>
                <w:rFonts w:ascii="Aptos" w:hAnsi="Aptos"/>
                <w:b w:val="0"/>
                <w:color w:val="17365D"/>
                <w:sz w:val="20"/>
              </w:rPr>
              <w:t>Dra. Jazmín Del Orbe Sosa</w:t>
            </w:r>
          </w:p>
        </w:tc>
        <w:tc>
          <w:tcPr>
            <w:tcW w:type="dxa" w:w="5328"/>
            <w:vAlign w:val="center"/>
            <w:tcMar>
              <w:top w:w="80" w:type="dxa"/>
              <w:start w:w="90" w:type="dxa"/>
              <w:bottom w:w="80" w:type="dxa"/>
              <w:end w:w="90" w:type="dxa"/>
            </w:tcMar>
            <w:shd w:fill="FFFFFF"/>
          </w:tcPr>
          <w:p>
            <w:pPr>
              <w:spacing w:after="0"/>
              <w:jc w:val="left"/>
            </w:pPr>
            <w:r/>
            <w:r>
              <w:rPr>
                <w:rFonts w:ascii="Aptos" w:hAnsi="Aptos"/>
                <w:b w:val="0"/>
                <w:color w:val="17365D"/>
                <w:sz w:val="20"/>
              </w:rPr>
              <w:t>Dr. Aritmedes Restituyo</w:t>
            </w:r>
          </w:p>
        </w:tc>
      </w:tr>
      <w:tr>
        <w:tc>
          <w:tcPr>
            <w:tcW w:type="dxa" w:w="5328"/>
            <w:vAlign w:val="center"/>
            <w:tcMar>
              <w:top w:w="80" w:type="dxa"/>
              <w:start w:w="90" w:type="dxa"/>
              <w:bottom w:w="80" w:type="dxa"/>
              <w:end w:w="90" w:type="dxa"/>
            </w:tcMar>
            <w:shd w:fill="F5F9FC"/>
          </w:tcPr>
          <w:p>
            <w:pPr>
              <w:spacing w:after="0"/>
              <w:jc w:val="left"/>
            </w:pPr>
            <w:r/>
            <w:r>
              <w:rPr>
                <w:rFonts w:ascii="Aptos" w:hAnsi="Aptos"/>
                <w:b w:val="0"/>
                <w:color w:val="17365D"/>
                <w:sz w:val="20"/>
              </w:rPr>
              <w:t>Sra. María Cuba</w:t>
            </w:r>
          </w:p>
        </w:tc>
        <w:tc>
          <w:tcPr>
            <w:tcW w:type="dxa" w:w="5328"/>
            <w:vAlign w:val="center"/>
            <w:tcMar>
              <w:top w:w="80" w:type="dxa"/>
              <w:start w:w="90" w:type="dxa"/>
              <w:bottom w:w="80" w:type="dxa"/>
              <w:end w:w="90" w:type="dxa"/>
            </w:tcMar>
            <w:shd w:fill="F5F9FC"/>
          </w:tcPr>
          <w:p>
            <w:pPr>
              <w:spacing w:after="0"/>
              <w:jc w:val="left"/>
            </w:pPr>
            <w:r/>
            <w:r>
              <w:rPr>
                <w:rFonts w:ascii="Aptos" w:hAnsi="Aptos"/>
                <w:b w:val="0"/>
                <w:color w:val="17365D"/>
                <w:sz w:val="20"/>
              </w:rPr>
              <w:t>Mr. Gerardo Abreu</w:t>
            </w:r>
          </w:p>
        </w:tc>
      </w:tr>
      <w:tr>
        <w:tc>
          <w:tcPr>
            <w:tcW w:type="dxa" w:w="5328"/>
            <w:vAlign w:val="center"/>
            <w:tcMar>
              <w:top w:w="80" w:type="dxa"/>
              <w:start w:w="90" w:type="dxa"/>
              <w:bottom w:w="80" w:type="dxa"/>
              <w:end w:w="90" w:type="dxa"/>
            </w:tcMar>
            <w:shd w:fill="FFFFFF"/>
          </w:tcPr>
          <w:p>
            <w:pPr>
              <w:spacing w:after="0"/>
              <w:jc w:val="left"/>
            </w:pPr>
            <w:r/>
            <w:r>
              <w:rPr>
                <w:rFonts w:ascii="Aptos" w:hAnsi="Aptos"/>
                <w:b w:val="0"/>
                <w:color w:val="17365D"/>
                <w:sz w:val="20"/>
              </w:rPr>
              <w:t>Sra. Geydy Peguero de Sánchez</w:t>
            </w:r>
          </w:p>
        </w:tc>
        <w:tc>
          <w:tcPr>
            <w:tcW w:type="dxa" w:w="5328"/>
            <w:vAlign w:val="center"/>
            <w:tcMar>
              <w:top w:w="80" w:type="dxa"/>
              <w:start w:w="90" w:type="dxa"/>
              <w:bottom w:w="80" w:type="dxa"/>
              <w:end w:w="90" w:type="dxa"/>
            </w:tcMar>
            <w:shd w:fill="FFFFFF"/>
          </w:tcPr>
          <w:p>
            <w:pPr>
              <w:spacing w:after="0"/>
              <w:jc w:val="left"/>
            </w:pPr>
            <w:r/>
            <w:r>
              <w:rPr>
                <w:rFonts w:ascii="Aptos" w:hAnsi="Aptos"/>
                <w:b w:val="0"/>
                <w:color w:val="17365D"/>
                <w:sz w:val="20"/>
              </w:rPr>
              <w:t>Lic. Juana de los Santos</w:t>
            </w:r>
          </w:p>
        </w:tc>
      </w:tr>
      <w:tr>
        <w:tc>
          <w:tcPr>
            <w:tcW w:type="dxa" w:w="5328"/>
            <w:vAlign w:val="center"/>
            <w:tcMar>
              <w:top w:w="80" w:type="dxa"/>
              <w:start w:w="90" w:type="dxa"/>
              <w:bottom w:w="80" w:type="dxa"/>
              <w:end w:w="90" w:type="dxa"/>
            </w:tcMar>
            <w:shd w:fill="F5F9FC"/>
          </w:tcPr>
          <w:p>
            <w:pPr>
              <w:spacing w:after="0"/>
              <w:jc w:val="left"/>
            </w:pPr>
            <w:r/>
            <w:r>
              <w:rPr>
                <w:rFonts w:ascii="Aptos" w:hAnsi="Aptos"/>
                <w:b w:val="0"/>
                <w:color w:val="17365D"/>
                <w:sz w:val="20"/>
              </w:rPr>
              <w:t>Mrs. Eustakia Villafaña</w:t>
            </w:r>
          </w:p>
        </w:tc>
        <w:tc>
          <w:tcPr>
            <w:tcW w:type="dxa" w:w="5328"/>
            <w:vAlign w:val="center"/>
            <w:tcMar>
              <w:top w:w="80" w:type="dxa"/>
              <w:start w:w="90" w:type="dxa"/>
              <w:bottom w:w="80" w:type="dxa"/>
              <w:end w:w="90" w:type="dxa"/>
            </w:tcMar>
            <w:shd w:fill="F5F9FC"/>
          </w:tcPr>
          <w:p>
            <w:pPr>
              <w:spacing w:after="0"/>
              <w:jc w:val="left"/>
            </w:pPr>
            <w:r/>
            <w:r>
              <w:rPr>
                <w:rFonts w:ascii="Aptos" w:hAnsi="Aptos"/>
                <w:b w:val="0"/>
                <w:color w:val="17365D"/>
                <w:sz w:val="20"/>
              </w:rPr>
              <w:t>Mrs. Jenny Ortiz</w:t>
            </w:r>
          </w:p>
        </w:tc>
      </w:tr>
      <w:tr>
        <w:tc>
          <w:tcPr>
            <w:tcW w:type="dxa" w:w="5328"/>
            <w:vAlign w:val="center"/>
            <w:tcMar>
              <w:top w:w="80" w:type="dxa"/>
              <w:start w:w="90" w:type="dxa"/>
              <w:bottom w:w="80" w:type="dxa"/>
              <w:end w:w="90" w:type="dxa"/>
            </w:tcMar>
            <w:shd w:fill="FFFFFF"/>
          </w:tcPr>
          <w:p>
            <w:pPr>
              <w:spacing w:after="0"/>
              <w:jc w:val="left"/>
            </w:pPr>
            <w:r/>
            <w:r>
              <w:rPr>
                <w:rFonts w:ascii="Aptos" w:hAnsi="Aptos"/>
                <w:b w:val="0"/>
                <w:color w:val="17365D"/>
                <w:sz w:val="20"/>
              </w:rPr>
              <w:t>Katiuska Lebrón</w:t>
            </w:r>
          </w:p>
        </w:tc>
        <w:tc>
          <w:tcPr>
            <w:tcW w:type="dxa" w:w="5328"/>
            <w:vAlign w:val="center"/>
            <w:tcMar>
              <w:top w:w="80" w:type="dxa"/>
              <w:start w:w="90" w:type="dxa"/>
              <w:bottom w:w="80" w:type="dxa"/>
              <w:end w:w="90" w:type="dxa"/>
            </w:tcMar>
            <w:shd w:fill="FFFFFF"/>
          </w:tcPr>
          <w:p>
            <w:pPr>
              <w:spacing w:after="0"/>
              <w:jc w:val="left"/>
            </w:pPr>
            <w:r/>
            <w:r>
              <w:rPr>
                <w:rFonts w:ascii="Aptos" w:hAnsi="Aptos"/>
                <w:b w:val="0"/>
                <w:color w:val="17365D"/>
                <w:sz w:val="20"/>
              </w:rPr>
              <w:t>María Francesca Cheny</w:t>
            </w:r>
          </w:p>
        </w:tc>
      </w:tr>
      <w:tr>
        <w:tc>
          <w:tcPr>
            <w:tcW w:type="dxa" w:w="5328"/>
            <w:vAlign w:val="center"/>
            <w:tcMar>
              <w:top w:w="80" w:type="dxa"/>
              <w:start w:w="90" w:type="dxa"/>
              <w:bottom w:w="80" w:type="dxa"/>
              <w:end w:w="90" w:type="dxa"/>
            </w:tcMar>
            <w:shd w:fill="F5F9FC"/>
          </w:tcPr>
          <w:p>
            <w:pPr>
              <w:spacing w:after="0"/>
              <w:jc w:val="left"/>
            </w:pPr>
            <w:r/>
            <w:r>
              <w:rPr>
                <w:rFonts w:ascii="Aptos" w:hAnsi="Aptos"/>
                <w:b w:val="0"/>
                <w:color w:val="17365D"/>
                <w:sz w:val="20"/>
              </w:rPr>
              <w:t>Mr. Andrés Torres</w:t>
            </w:r>
          </w:p>
        </w:tc>
        <w:tc>
          <w:tcPr>
            <w:tcW w:type="dxa" w:w="5328"/>
          </w:tcPr>
          <w:p/>
        </w:tc>
      </w:tr>
    </w:tbl>
    <w:p>
      <w:pPr>
        <w:pStyle w:val="ReportHeading1"/>
      </w:pPr>
      <w:r>
        <w:t>6. Próximos pasos</w:t>
      </w:r>
    </w:p>
    <w:p>
      <w:pPr>
        <w:ind w:left="288" w:hanging="216"/>
      </w:pPr>
      <w:r>
        <w:rPr>
          <w:b/>
        </w:rPr>
        <w:t xml:space="preserve">• </w:t>
      </w:r>
      <w:r>
        <w:t>Completar la recepción y revisión de todos los formularios institucionales.</w:t>
      </w:r>
    </w:p>
    <w:p>
      <w:pPr>
        <w:ind w:left="288" w:hanging="216"/>
      </w:pPr>
      <w:r>
        <w:rPr>
          <w:b/>
        </w:rPr>
        <w:t xml:space="preserve">• </w:t>
      </w:r>
      <w:r>
        <w:t>Confirmar las cifras marcadas como estimadas o superiores a un mínimo.</w:t>
      </w:r>
    </w:p>
    <w:p>
      <w:pPr>
        <w:ind w:left="288" w:hanging="216"/>
      </w:pPr>
      <w:r>
        <w:rPr>
          <w:b/>
        </w:rPr>
        <w:t xml:space="preserve">• </w:t>
      </w:r>
      <w:r>
        <w:t>Preparar el informe final con fotografías, testimonios, referimientos y recomendaciones.</w:t>
      </w:r>
    </w:p>
    <w:p>
      <w:pPr>
        <w:ind w:left="288" w:hanging="216"/>
      </w:pPr>
      <w:r>
        <w:rPr>
          <w:b/>
        </w:rPr>
        <w:t xml:space="preserve">• </w:t>
      </w:r>
      <w:r>
        <w:t>Compartir los resultados consolidados con aliados, auspiciadores, voluntarios y comunidad.</w:t>
      </w:r>
    </w:p>
    <w:p>
      <w:pPr>
        <w:spacing w:before="160"/>
        <w:jc w:val="both"/>
      </w:pPr>
      <w:r>
        <w:rPr>
          <w:b/>
          <w:color w:val="1F4E78"/>
        </w:rPr>
        <w:t>Este informe preliminar reafirma el valor de la colaboración interinstitucional y comunitaria. Cada servicio ofrecido representó una oportunidad concreta para orientar, prevenir, detectar necesidades y conectar a las familias con recursos esenciales.</w:t>
      </w:r>
    </w:p>
    <w:tbl>
      <w:tblPr>
        <w:tblW w:type="auto" w:w="0"/>
        <w:jc w:val="center"/>
        <w:tblLayout w:type="fixed"/>
        <w:tblLook w:firstColumn="1" w:firstRow="1" w:lastColumn="0" w:lastRow="0" w:noHBand="0" w:noVBand="1" w:val="04A0"/>
      </w:tblPr>
      <w:tblGrid>
        <w:gridCol w:w="7056"/>
        <w:gridCol w:w="3600"/>
      </w:tblGrid>
      <w:tr>
        <w:tc>
          <w:tcPr>
            <w:tcW w:type="dxa" w:w="5184"/>
            <w:vAlign w:val="center"/>
            <w:tcMar>
              <w:top w:w="80" w:type="dxa"/>
              <w:start w:w="90" w:type="dxa"/>
              <w:bottom w:w="80" w:type="dxa"/>
              <w:end w:w="90" w:type="dxa"/>
            </w:tcMar>
            <w:shd w:fill="D9EAF7"/>
          </w:tcPr>
          <w:p>
            <w:pPr>
              <w:spacing w:after="0"/>
              <w:jc w:val="left"/>
            </w:pPr>
            <w:r/>
            <w:r>
              <w:rPr>
                <w:rFonts w:ascii="Aptos" w:hAnsi="Aptos"/>
                <w:b/>
                <w:color w:val="17365D"/>
                <w:sz w:val="19"/>
              </w:rPr>
              <w:t>Dr. Aritmedes Restituyo</w:t>
              <w:br/>
              <w:t>Coordinación General – AHPSI</w:t>
              <w:br/>
              <w:t>En representación de las organizaciones coordinadoras</w:t>
            </w:r>
          </w:p>
        </w:tc>
        <w:tc>
          <w:tcPr>
            <w:tcW w:type="dxa" w:w="5184"/>
            <w:vAlign w:val="center"/>
            <w:tcMar>
              <w:top w:w="80" w:type="dxa"/>
              <w:start w:w="90" w:type="dxa"/>
              <w:bottom w:w="80" w:type="dxa"/>
              <w:end w:w="90" w:type="dxa"/>
            </w:tcMar>
            <w:shd w:fill="FFF4D6"/>
          </w:tcPr>
          <w:p>
            <w:pPr>
              <w:spacing w:after="0"/>
              <w:jc w:val="center"/>
            </w:pPr>
            <w:r/>
            <w:r>
              <w:rPr>
                <w:rFonts w:ascii="Aptos" w:hAnsi="Aptos"/>
                <w:b/>
                <w:color w:val="1F4E78"/>
                <w:sz w:val="19"/>
              </w:rPr>
              <w:t>732-277-9640</w:t>
              <w:br/>
              <w:t>info@ahpsi.org</w:t>
              <w:br/>
              <w:t>www.ahpsi.org</w:t>
            </w:r>
          </w:p>
        </w:tc>
      </w:tr>
    </w:tbl>
    <w:sectPr w:rsidR="00FC693F" w:rsidRPr="0006063C" w:rsidSect="00034616">
      <w:footerReference w:type="default" r:id="rId10"/>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66666"/>
        <w:sz w:val="16"/>
      </w:rPr>
      <w:t>AHPSI | XIII Feria Anual de Salud Comunitaria – Elizabeth, NJ, 2026 | Informe preliminar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portHeading1">
    <w:name w:val="Report Heading 1"/>
    <w:pPr>
      <w:spacing w:before="160" w:after="80"/>
    </w:pPr>
    <w:rPr>
      <w:rFonts w:ascii="Aptos Display" w:hAnsi="Aptos Display"/>
      <w:b/>
      <w:color w:val="17365D"/>
      <w:sz w:val="30"/>
    </w:rPr>
  </w:style>
  <w:style w:type="paragraph" w:customStyle="1" w:styleId="ReportHeading2">
    <w:name w:val="Report Heading 2"/>
    <w:pPr>
      <w:spacing w:before="160" w:after="80"/>
    </w:pPr>
    <w:rPr>
      <w:rFonts w:ascii="Aptos Display" w:hAnsi="Aptos Display"/>
      <w:b/>
      <w:color w:val="1F4E78"/>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Preliminar XIII Feria Anual de Salud Comunitaria – Elizabeth 2026</dc:title>
  <dc:subject>Servicios ofrecidos por área e institución</dc:subject>
  <dc:creator>AHPSI</dc:creator>
  <cp:keywords/>
  <dc:description>generated by python-docx</dc:description>
  <cp:lastModifiedBy/>
  <cp:revision>1</cp:revision>
  <dcterms:created xsi:type="dcterms:W3CDTF">2013-12-23T23:15:00Z</dcterms:created>
  <dcterms:modified xsi:type="dcterms:W3CDTF">2013-12-23T23:15:00Z</dcterms:modified>
  <cp:category/>
</cp:coreProperties>
</file>