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45B"/>
          <w:sz w:val="46"/>
        </w:rPr>
        <w:t>AHPSI</w:t>
      </w:r>
    </w:p>
    <w:p>
      <w:pPr>
        <w:jc w:val="center"/>
      </w:pPr>
      <w:r>
        <w:rPr>
          <w:b/>
          <w:color w:val="B18930"/>
          <w:sz w:val="24"/>
        </w:rPr>
        <w:t>Asociación Hispana de Profesionales de la Salud, Inc.</w:t>
      </w:r>
    </w:p>
    <w:p>
      <w:pPr>
        <w:jc w:val="center"/>
      </w:pPr>
      <w:r>
        <w:rPr>
          <w:b/>
          <w:sz w:val="26"/>
        </w:rPr>
        <w:t>XIII Feria Anual de Salud Comunitaria “Decide Ser Saludable”</w:t>
      </w:r>
    </w:p>
    <w:p>
      <w:pPr>
        <w:jc w:val="center"/>
      </w:pPr>
      <w:r>
        <w:rPr>
          <w:b/>
          <w:color w:val="1F345B"/>
          <w:sz w:val="28"/>
        </w:rPr>
        <w:t>PROPUESTA DE NUMERACIÓN Y DISTRIBUCIÓN DE MESAS POR SERVICIO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rPr>
          <w:cantSplit/>
        </w:trPr>
        <w:tc>
          <w:tcPr>
            <w:tcW w:type="dxa" w:w="2714"/>
            <w:vAlign w:val="center"/>
          </w:tcPr>
          <w:p>
            <w:r>
              <w:rPr>
                <w:b/>
                <w:color w:val="1F345B"/>
                <w:sz w:val="17"/>
              </w:rPr>
              <w:t>Fecha</w:t>
            </w:r>
          </w:p>
        </w:tc>
        <w:tc>
          <w:tcPr>
            <w:tcW w:type="dxa" w:w="2714"/>
            <w:vAlign w:val="center"/>
          </w:tcPr>
          <w:p>
            <w:r>
              <w:rPr>
                <w:sz w:val="17"/>
              </w:rPr>
              <w:t>Domingo 26 de julio de 2026</w:t>
            </w:r>
          </w:p>
        </w:tc>
        <w:tc>
          <w:tcPr>
            <w:tcW w:type="dxa" w:w="2714"/>
            <w:vAlign w:val="center"/>
          </w:tcPr>
          <w:p>
            <w:r>
              <w:rPr>
                <w:b/>
                <w:color w:val="1F345B"/>
                <w:sz w:val="17"/>
              </w:rPr>
              <w:t>Horario</w:t>
            </w:r>
          </w:p>
        </w:tc>
        <w:tc>
          <w:tcPr>
            <w:tcW w:type="dxa" w:w="2714"/>
            <w:vAlign w:val="center"/>
          </w:tcPr>
          <w:p>
            <w:r>
              <w:rPr>
                <w:sz w:val="17"/>
              </w:rPr>
              <w:t>9:00 a. m. – 3:00 p. m.</w:t>
            </w:r>
          </w:p>
        </w:tc>
      </w:tr>
      <w:tr>
        <w:trPr>
          <w:cantSplit/>
        </w:trPr>
        <w:tc>
          <w:tcPr>
            <w:tcW w:type="dxa" w:w="2714"/>
            <w:vAlign w:val="center"/>
          </w:tcPr>
          <w:p>
            <w:r>
              <w:rPr>
                <w:b/>
                <w:color w:val="1F345B"/>
                <w:sz w:val="17"/>
              </w:rPr>
              <w:t>Lugar</w:t>
            </w:r>
          </w:p>
        </w:tc>
        <w:tc>
          <w:tcPr>
            <w:tcW w:type="dxa" w:w="2714"/>
            <w:vAlign w:val="center"/>
          </w:tcPr>
          <w:p>
            <w:r>
              <w:rPr>
                <w:sz w:val="17"/>
              </w:rPr>
              <w:t>Escuela Juan Pablo Duarte &amp; José Martí</w:t>
            </w:r>
          </w:p>
        </w:tc>
        <w:tc>
          <w:tcPr>
            <w:tcW w:type="dxa" w:w="2714"/>
            <w:vAlign w:val="center"/>
          </w:tcPr>
          <w:p>
            <w:r>
              <w:rPr>
                <w:b/>
                <w:color w:val="1F345B"/>
                <w:sz w:val="17"/>
              </w:rPr>
              <w:t>Dirección</w:t>
            </w:r>
          </w:p>
        </w:tc>
        <w:tc>
          <w:tcPr>
            <w:tcW w:type="dxa" w:w="2714"/>
            <w:vAlign w:val="center"/>
          </w:tcPr>
          <w:p>
            <w:r>
              <w:rPr>
                <w:sz w:val="17"/>
              </w:rPr>
              <w:t>25 First Street, Elizabeth, NJ 07206</w:t>
            </w:r>
          </w:p>
        </w:tc>
      </w:tr>
    </w:tbl>
    <w:p>
      <w:pPr>
        <w:spacing w:before="100" w:after="80"/>
      </w:pPr>
      <w:r>
        <w:rPr>
          <w:b/>
          <w:sz w:val="18"/>
        </w:rPr>
        <w:t>Total propuesto: 41 mesas o estaciones. La numeración es continua para facilitar la colocación de rótulos, el plano del salón y la orientación de participantes.</w:t>
      </w:r>
    </w:p>
    <w:p>
      <w:pPr>
        <w:spacing w:after="100"/>
      </w:pPr>
      <w:r>
        <w:rPr>
          <w:i/>
          <w:sz w:val="17"/>
        </w:rPr>
        <w:t>Nota operativa: se incluye una mesa pequeña adicional y una silla para la SNAP Navigator de Trinitas Regional Medical Center. Urban Workforce Advantage utilizará una sola mesa institucional para sus dos representantes.</w:t>
      </w: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A. Exámenes, prevención y servicios clínicos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Alba Berrios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Optometría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Evaluación/orientación visual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Dr. Erick Collado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Área de exámenes de salud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Signos vitales, glucosa, colesterol y educación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clínica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Dr. Héctor Javier Castro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Área de exámenes de salud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Signos vitales, glucosa, educación y referimientos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clínica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4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Dr. Luis Luna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Ask Your Doctor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Orientación médica y educación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5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Jennifer Castillo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Salud de la próstata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Prevención y educación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6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Nancy Aleman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Hoboken Family Planning, Inc.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Salud preventiva y planificación familiar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7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Sadhana Singh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Project BEST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Evaluación y orientación visual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8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Sara Mehta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Rutgers Cancer Institute / ScreenNJ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Prevención y detección del cáncer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9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Víctor Acosta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Nutrición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Evaluación y educación nutricional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B. Salud dental, rehabilitación, bienestar y terapias complementarias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10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Mr. Jorge Guillen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Abra Dental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Servicios y educación dental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11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Mr. Dennis Camacho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Authentic Physical Therapy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Fisioterapia, rehabilitación y prevención de lesiones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12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Lic. Álvaro Varón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Varon Care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Orientación y servicios de bienestar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13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Luz Elena Cunha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Psicología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Consejería y apoyo emocional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14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Virginia Fow Yui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Psicología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Consejería y apoyo emocional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15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Dr. Henry Mendoza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Servicios de Electromagnetismo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Terapia complementaria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16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Gabriel Espinosa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Advanced Biomagnetism Center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Biomagnetismo y orientación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17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José Manuel Alejandro Grullón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Masaje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Masaje terapéutico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18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Juana de los Santos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Masaje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Masaje terapéutico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C. Hospitales, seguros, atención domiciliaria y servicios de salud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19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Ana Morfe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Vitale Health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Coaching de salud y bienestar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20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Danerys Lazala Moreta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Wellpoint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Seguro de salud y orientación comunitaria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21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Mariana Molina Cardoso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Trinitas Regional Medical Center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Programas hospitalarios y alcance comunitario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22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SNAP Navigator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Trinitas Regional Medical Center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Información y asistencia sobre beneficios SNAP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pequeña adicional + 1 silla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23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Mr. Marino Lima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UnitedHealthcare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Seguro de salud y educación de beneficios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24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Mrs. Patricia Troncoso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Authentic Care, LLC — Home Care with Heart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Atención domiciliaria y oportunidades de empleo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25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Paulina De León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Vita Mobile Care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Servicios móviles y orientación de salud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26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Santiago Yacovino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Elara Caring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Atención domiciliaria y servicios de salud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27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Mrs. Caroline Mateo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CapTel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Servicios de comunicación asistida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D. Gobierno, servicios sociales, inmigración y apoyo comunitario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28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Breon Boseman-Sims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Union County Office of Health Management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Salud pública y recursos del condado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29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Ursima Calenicoff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Union County Health Department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Salud pública y educación preventiva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30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Leonardo Ferrisi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PROCEED, Inc.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Servicios comunitarios y prevención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31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Sita Laguempedo, MA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Office of New Americans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Recursos para inmigrantes y nuevos residentes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32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Mr. José Ignacio Polanco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Luissanny — Servicios legales de inmigración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Orientación legal migratoria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33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Carmen Delia Rodríguez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Liberty Community Consulting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Consultoría y apoyo comunitario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34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José Rijo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CLAPEA, Inc.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Educación y apoyo comunitario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E. Educación, empleo y servicios financieros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35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Dra. Isabel Pérez Santander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Fairleigh Dickinson University — Programa Puerta al Futuro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Educación superior y oportunidades académicas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36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Isaias Rivera y Yunia Labaut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Urban Workforce Advantage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Empleo, capacitación y desarrollo laboral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Una mesa compartida por la institución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37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Jerry Jerez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Union County Savings Bank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Educación financiera y servicios bancarios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 institucional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38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Lic. Maribel Guerra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Educación para niños con necesidades especiales / Coaching Transformacional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Educación y orientación familiar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 individual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F. Área infantil y apoyo a familias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39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Cristina Hoyos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Área infantil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Actividades y atención a niños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Mesa/estación infantil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40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Delsia Castillo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Área infantil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Actividades y atención a niños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3EEDC"/>
          </w:tcPr>
          <w:p>
            <w:pPr>
              <w:spacing w:after="0"/>
              <w:jc w:val="left"/>
            </w:pPr>
            <w:r>
              <w:rPr>
                <w:sz w:val="15"/>
              </w:rPr>
              <w:t>Mesa/estación infantil</w:t>
            </w:r>
          </w:p>
        </w:tc>
      </w:tr>
    </w:tbl>
    <w:p>
      <w:pPr>
        <w:spacing w:after="0"/>
      </w:pPr>
    </w:p>
    <w:p>
      <w:pPr>
        <w:keepNext/>
        <w:keepLines/>
        <w:spacing w:before="120" w:after="60"/>
      </w:pPr>
      <w:r>
        <w:rPr>
          <w:b/>
          <w:color w:val="1F345B"/>
          <w:sz w:val="22"/>
        </w:rPr>
        <w:t>G. Alimentación y apoyo logístico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92"/>
        <w:gridCol w:w="2232"/>
        <w:gridCol w:w="3528"/>
        <w:gridCol w:w="3312"/>
        <w:gridCol w:w="2088"/>
      </w:tblGrid>
      <w:tr>
        <w:trPr>
          <w:cantSplit/>
        </w:trPr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Mesa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Representante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Institución o área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Servicio principal</w:t>
            </w:r>
          </w:p>
        </w:tc>
        <w:tc>
          <w:tcPr>
            <w:tcW w:type="dxa" w:w="2172"/>
            <w:shd w:fill="1F345B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Observación</w:t>
            </w:r>
          </w:p>
        </w:tc>
      </w:tr>
      <w:tr>
        <w:trPr>
          <w:cantSplit/>
        </w:trPr>
        <w:tc>
          <w:tcPr>
            <w:tcW w:type="dxa" w:w="79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1F345B"/>
                <w:sz w:val="18"/>
              </w:rPr>
              <w:t>41</w:t>
            </w:r>
          </w:p>
        </w:tc>
        <w:tc>
          <w:tcPr>
            <w:tcW w:type="dxa" w:w="223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Mrs. Yulisa Peguero</w:t>
            </w:r>
          </w:p>
        </w:tc>
        <w:tc>
          <w:tcPr>
            <w:tcW w:type="dxa" w:w="35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My Dominican Kitchen Style</w:t>
            </w:r>
          </w:p>
        </w:tc>
        <w:tc>
          <w:tcPr>
            <w:tcW w:type="dxa" w:w="3312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Alimentos y apoyo comunitario</w:t>
            </w:r>
          </w:p>
        </w:tc>
        <w:tc>
          <w:tcPr>
            <w:tcW w:type="dxa" w:w="208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  <w:jc w:val="left"/>
            </w:pPr>
            <w:r>
              <w:rPr>
                <w:sz w:val="15"/>
              </w:rPr>
              <w:t>Mesa/área de alimentos</w:t>
            </w:r>
          </w:p>
        </w:tc>
      </w:tr>
    </w:tbl>
    <w:p>
      <w:pPr>
        <w:spacing w:after="0"/>
      </w:pPr>
    </w:p>
    <w:p>
      <w:pPr>
        <w:spacing w:before="120"/>
        <w:jc w:val="center"/>
      </w:pPr>
      <w:r>
        <w:rPr>
          <w:i/>
          <w:sz w:val="16"/>
        </w:rPr>
        <w:t>Documento de trabajo para coordinación y montaje — sujeto a ajustes finales según el espacio disponible.</w:t>
      </w:r>
    </w:p>
    <w:p>
      <w:pPr>
        <w:jc w:val="center"/>
      </w:pPr>
      <w:r>
        <w:rPr>
          <w:b/>
          <w:color w:val="1F345B"/>
          <w:sz w:val="18"/>
        </w:rPr>
        <w:t>Dr. Aritmedes Restituyo | 732-277-9640 | info@ahpsi.org</w:t>
      </w:r>
    </w:p>
    <w:sectPr w:rsidR="00FC693F" w:rsidRPr="0006063C" w:rsidSect="00034616">
      <w:pgSz w:w="12240" w:h="15840"/>
      <w:pgMar w:top="648" w:right="691" w:bottom="648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