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color w:val="2E75B6"/>
          <w:sz w:val="28"/>
          <w:szCs w:val="28"/>
        </w:rPr>
        <w:t xml:space="preserve">ASOCIACIÓN HISPANA DE PROFESIONALES DE LA SALUD</w:t>
      </w:r>
    </w:p>
    <w:p>
      <w:pPr>
        <w:spacing w:after="120"/>
        <w:jc w:val="center"/>
      </w:pPr>
      <w:r>
        <w:rPr>
          <w:b/>
          <w:bCs/>
          <w:color w:val="2E75B6"/>
          <w:sz w:val="24"/>
          <w:szCs w:val="24"/>
        </w:rPr>
        <w:t xml:space="preserve">AHPSI</w:t>
      </w:r>
    </w:p>
    <w:p>
      <w:pPr>
        <w:spacing w:after="360"/>
        <w:jc w:val="center"/>
      </w:pPr>
      <w:r>
        <w:rPr>
          <w:color w:val="666666"/>
          <w:sz w:val="22"/>
          <w:szCs w:val="22"/>
        </w:rPr>
        <w:t xml:space="preserve">info@ahpsi.org</w:t>
      </w:r>
    </w:p>
    <w:p>
      <w:pPr>
        <w:spacing w:after="240"/>
        <w:jc w:val="center"/>
      </w:pPr>
      <w:r>
        <w:rPr>
          <w:b/>
          <w:bCs/>
          <w:color w:val="1F4E78"/>
          <w:sz w:val="32"/>
          <w:szCs w:val="32"/>
        </w:rPr>
        <w:t xml:space="preserve">GUÍA COMPLETA PARA OBTENER LA LICENCIA</w:t>
      </w:r>
    </w:p>
    <w:p>
      <w:pPr>
        <w:spacing w:after="480"/>
        <w:jc w:val="center"/>
      </w:pPr>
      <w:r>
        <w:rPr>
          <w:b/>
          <w:bCs/>
          <w:color w:val="1F4E78"/>
          <w:sz w:val="32"/>
          <w:szCs w:val="32"/>
        </w:rPr>
        <w:t xml:space="preserve">DE NUTRICIONISTA-DIETISTA EN NORTH CAROLINA</w:t>
      </w:r>
    </w:p>
    <w:p>
      <w:pPr>
        <w:pBdr>
          <w:top w:val="single" w:color="E74C3C" w:sz="6" w:space="1"/>
          <w:bottom w:val="single" w:color="E74C3C" w:sz="6" w:space="1"/>
          <w:left w:val="single" w:color="E74C3C" w:sz="6" w:space="1"/>
          <w:right w:val="single" w:color="E74C3C" w:sz="6" w:space="1"/>
        </w:pBdr>
        <w:shd w:fill="FFE5E5" w:val="clear"/>
        <w:spacing w:before="240" w:after="360"/>
        <w:jc w:val="center"/>
      </w:pPr>
      <w:r>
        <w:rPr>
          <w:b/>
          <w:bCs/>
          <w:color w:val="C0392B"/>
          <w:sz w:val="24"/>
          <w:szCs w:val="24"/>
        </w:rPr>
        <w:t xml:space="preserve">NOTA IMPORTANTE: Todo el proceso de solicitud y el examen se realizan en inglés</w:t>
      </w:r>
    </w:p>
    <w:p>
      <w:pPr>
        <w:pStyle w:val="Heading1"/>
      </w:pPr>
      <w:r>
        <w:t xml:space="preserve">INTRODUCCIÓN</w:t>
      </w:r>
    </w:p>
    <w:p>
      <w:pPr>
        <w:spacing w:after="200"/>
      </w:pPr>
      <w:r>
        <w:t xml:space="preserve">Esta guía ha sido preparada por la Asociación Hispana de Profesionales de la Salud (AHPSI) para asistir a profesionales latinos graduados en el exterior en el área de nutrición o carreras relacionadas que desean obtener su licencia profesional en el estado de North Carolina, Estados Unidos.</w:t>
      </w:r>
    </w:p>
    <w:p>
      <w:pPr>
        <w:spacing w:after="200"/>
      </w:pPr>
      <w:r>
        <w:t xml:space="preserve">El proceso puede parecer complejo inicialmente, pero con la información correcta y determinación, es completamente alcanzable. Miles de profesionales internacionales han logrado obtener su licencia exitosamente, y usted también puede hacerlo.</w:t>
      </w:r>
    </w:p>
    <w:p>
      <w:pPr>
        <w:pStyle w:val="Heading1"/>
      </w:pPr>
      <w:r>
        <w:t xml:space="preserve">LICENCIA A OBTENER</w:t>
      </w:r>
    </w:p>
    <w:p>
      <w:pPr>
        <w:spacing w:after="120"/>
      </w:pPr>
      <w:r>
        <w:rPr>
          <w:b/>
          <w:bCs/>
          <w:sz w:val="24"/>
          <w:szCs w:val="24"/>
        </w:rPr>
        <w:t xml:space="preserve">Licensed Dietitian/Nutritionist (LDN)</w:t>
      </w:r>
    </w:p>
    <w:p>
      <w:pPr>
        <w:spacing w:after="300"/>
      </w:pPr>
      <w:r>
        <w:t xml:space="preserve">Esta es la licencia profesional estatal que le permitirá ejercer como nutricionista-dietista en North Carolina. Es importante destacar que además de la licencia estatal (LDN), muchos profesionales también buscan la certificación nacional RD (Registered Dietitian) o RDN (Registered Dietitian Nutritionist) otorgada por la Commission on Dietetic Registration (CDR).</w:t>
      </w:r>
    </w:p>
    <w:p>
      <w:pPr>
        <w:pStyle w:val="Heading1"/>
      </w:pPr>
      <w:r>
        <w:t xml:space="preserve">REQUISITOS PARA APLICAR</w:t>
      </w:r>
    </w:p>
    <w:p>
      <w:pPr>
        <w:spacing w:after="120"/>
      </w:pPr>
      <w:r>
        <w:t xml:space="preserve">Para calificar para la licencia LDN en North Carolina, debe cumplir con los siguientes requisitos:</w:t>
      </w:r>
    </w:p>
    <w:p>
      <w:pPr>
        <w:pStyle w:val="ListParagraph"/>
        <w:numPr>
          <w:ilvl w:val="0"/>
          <w:numId w:val="2"/>
        </w:numPr>
        <w:spacing w:after="120"/>
      </w:pPr>
      <w:r>
        <w:rPr>
          <w:b/>
          <w:bCs/>
        </w:rPr>
        <w:t xml:space="preserve">Título Universitario: </w:t>
      </w:r>
      <w:r>
        <w:t xml:space="preserve">Debe poseer un título de licenciatura o superior (Bachelor's degree o equivalente) en nutrición, dietética, ciencias de los alimentos, o campo relacionado de una institución acreditada.</w:t>
      </w:r>
    </w:p>
    <w:p>
      <w:pPr>
        <w:pStyle w:val="ListParagraph"/>
        <w:numPr>
          <w:ilvl w:val="0"/>
          <w:numId w:val="2"/>
        </w:numPr>
        <w:spacing w:after="120"/>
      </w:pPr>
      <w:r>
        <w:rPr>
          <w:b/>
          <w:bCs/>
        </w:rPr>
        <w:t xml:space="preserve">Evaluación de Credenciales Educativas: </w:t>
      </w:r>
      <w:r>
        <w:t xml:space="preserve">Si su título fue obtenido fuera de Estados Unidos, deberá realizar una evaluación de credenciales a través de una agencia aprobada como WES (World Education Services), ECE (Educational Credential Evaluators), o similar. Esta evaluación debe demostrar que su educación es equivalente a un grado estadounidense.</w:t>
      </w:r>
    </w:p>
    <w:p>
      <w:pPr>
        <w:pStyle w:val="ListParagraph"/>
        <w:numPr>
          <w:ilvl w:val="0"/>
          <w:numId w:val="2"/>
        </w:numPr>
        <w:spacing w:after="120"/>
      </w:pPr>
      <w:r>
        <w:rPr>
          <w:b/>
          <w:bCs/>
        </w:rPr>
        <w:t xml:space="preserve">Verificación del Programa Didáctico: </w:t>
      </w:r>
      <w:r>
        <w:t xml:space="preserve">Su programa educativo debe cumplir con los estándares establecidos por ACEND (Accreditation Council for Education in Nutrition and Dietetics). Si su programa no está acreditado por ACEND, puede ser necesario completar cursos adicionales.</w:t>
      </w:r>
    </w:p>
    <w:p>
      <w:pPr>
        <w:pStyle w:val="ListParagraph"/>
        <w:numPr>
          <w:ilvl w:val="0"/>
          <w:numId w:val="2"/>
        </w:numPr>
        <w:spacing w:after="120"/>
      </w:pPr>
      <w:r>
        <w:rPr>
          <w:b/>
          <w:bCs/>
        </w:rPr>
        <w:t xml:space="preserve">Práctica Supervisada: </w:t>
      </w:r>
      <w:r>
        <w:t xml:space="preserve">Debe completar al menos 900-1200 horas de práctica supervisada en nutrición/dietética. Esto puede incluir internados, prácticas clínicas, o programas coordinados.</w:t>
      </w:r>
    </w:p>
    <w:p>
      <w:pPr>
        <w:pStyle w:val="ListParagraph"/>
        <w:numPr>
          <w:ilvl w:val="0"/>
          <w:numId w:val="2"/>
        </w:numPr>
        <w:spacing w:after="120"/>
      </w:pPr>
      <w:r>
        <w:rPr>
          <w:b/>
          <w:bCs/>
        </w:rPr>
        <w:t xml:space="preserve">Aprobar el Examen de Registro: </w:t>
      </w:r>
      <w:r>
        <w:t xml:space="preserve">Debe aprobar el Registration Examination for Dietitians administrado por la Commission on Dietetic Registration (CDR).</w:t>
      </w:r>
    </w:p>
    <w:p>
      <w:pPr>
        <w:pStyle w:val="ListParagraph"/>
        <w:numPr>
          <w:ilvl w:val="0"/>
          <w:numId w:val="2"/>
        </w:numPr>
        <w:spacing w:after="300"/>
      </w:pPr>
      <w:r>
        <w:rPr>
          <w:b/>
          <w:bCs/>
        </w:rPr>
        <w:t xml:space="preserve">Verificación de Antecedentes: </w:t>
      </w:r>
      <w:r>
        <w:t xml:space="preserve">Debe someterse a una verificación de antecedentes penales.</w:t>
      </w:r>
    </w:p>
    <w:p>
      <w:pPr>
        <w:pStyle w:val="Heading1"/>
      </w:pPr>
      <w:r>
        <w:t xml:space="preserve">PROCESO DE APLICACIÓN PASO A PASO</w:t>
      </w:r>
    </w:p>
    <w:p>
      <w:pPr>
        <w:pStyle w:val="Heading2"/>
      </w:pPr>
      <w:r>
        <w:t xml:space="preserve">Paso 1: Evaluación de Credenciales Educativas</w:t>
      </w:r>
    </w:p>
    <w:p>
      <w:pPr>
        <w:pStyle w:val="ListParagraph"/>
        <w:numPr>
          <w:ilvl w:val="0"/>
          <w:numId w:val="3"/>
        </w:numPr>
        <w:spacing w:after="100"/>
      </w:pPr>
      <w:r>
        <w:t xml:space="preserve">Contacte una agencia de evaluación de credenciales como WES (www.wes.org) o ECE (www.ece.org)</w:t>
      </w:r>
    </w:p>
    <w:p>
      <w:pPr>
        <w:pStyle w:val="ListParagraph"/>
        <w:numPr>
          <w:ilvl w:val="0"/>
          <w:numId w:val="3"/>
        </w:numPr>
        <w:spacing w:after="100"/>
      </w:pPr>
      <w:r>
        <w:t xml:space="preserve">Solicite una evaluación "course-by-course" (curso por curso)</w:t>
      </w:r>
    </w:p>
    <w:p>
      <w:pPr>
        <w:pStyle w:val="ListParagraph"/>
        <w:numPr>
          <w:ilvl w:val="0"/>
          <w:numId w:val="3"/>
        </w:numPr>
        <w:spacing w:after="100"/>
      </w:pPr>
      <w:r>
        <w:t xml:space="preserve">Envíe sus transcripciones oficiales y documentos académicos</w:t>
      </w:r>
    </w:p>
    <w:p>
      <w:pPr>
        <w:pStyle w:val="ListParagraph"/>
        <w:numPr>
          <w:ilvl w:val="0"/>
          <w:numId w:val="3"/>
        </w:numPr>
        <w:spacing w:after="300"/>
      </w:pPr>
      <w:r>
        <w:t xml:space="preserve">Espere de 4-8 semanas para recibir su evaluación</w:t>
      </w:r>
    </w:p>
    <w:p>
      <w:pPr>
        <w:pStyle w:val="Heading2"/>
      </w:pPr>
      <w:r>
        <w:t xml:space="preserve">Paso 2: Registro con la Commission on Dietetic Registration (CDR)</w:t>
      </w:r>
    </w:p>
    <w:p>
      <w:pPr>
        <w:pStyle w:val="ListParagraph"/>
        <w:numPr>
          <w:ilvl w:val="0"/>
          <w:numId w:val="3"/>
        </w:numPr>
        <w:spacing w:after="100"/>
      </w:pPr>
      <w:r>
        <w:t xml:space="preserve">Visite el sitio web de CDR: www.cdrnet.org</w:t>
      </w:r>
    </w:p>
    <w:p>
      <w:pPr>
        <w:pStyle w:val="ListParagraph"/>
        <w:numPr>
          <w:ilvl w:val="0"/>
          <w:numId w:val="3"/>
        </w:numPr>
        <w:spacing w:after="100"/>
      </w:pPr>
      <w:r>
        <w:t xml:space="preserve">Cree una cuenta en el portal de CDR</w:t>
      </w:r>
    </w:p>
    <w:p>
      <w:pPr>
        <w:pStyle w:val="ListParagraph"/>
        <w:numPr>
          <w:ilvl w:val="0"/>
          <w:numId w:val="3"/>
        </w:numPr>
        <w:spacing w:after="100"/>
      </w:pPr>
      <w:r>
        <w:t xml:space="preserve">Complete la aplicación para el examen de registro</w:t>
      </w:r>
    </w:p>
    <w:p>
      <w:pPr>
        <w:pStyle w:val="ListParagraph"/>
        <w:numPr>
          <w:ilvl w:val="0"/>
          <w:numId w:val="3"/>
        </w:numPr>
        <w:spacing w:after="100"/>
      </w:pPr>
      <w:r>
        <w:t xml:space="preserve">Envíe su evaluación de credenciales educativas</w:t>
      </w:r>
    </w:p>
    <w:p>
      <w:pPr>
        <w:pStyle w:val="ListParagraph"/>
        <w:numPr>
          <w:ilvl w:val="0"/>
          <w:numId w:val="3"/>
        </w:numPr>
        <w:spacing w:after="300"/>
      </w:pPr>
      <w:r>
        <w:t xml:space="preserve">Proporcione documentación de su práctica supervisada</w:t>
      </w:r>
    </w:p>
    <w:p>
      <w:pPr>
        <w:pStyle w:val="Heading2"/>
      </w:pPr>
      <w:r>
        <w:t xml:space="preserve">Paso 3: Completar la Aplicación para la Licencia Estatal</w:t>
      </w:r>
    </w:p>
    <w:p>
      <w:pPr>
        <w:spacing w:after="120"/>
      </w:pPr>
      <w:r>
        <w:t xml:space="preserve">Una vez aprobado el examen CDR, puede aplicar para la licencia estatal de North Carolina:</w:t>
      </w:r>
    </w:p>
    <w:p>
      <w:pPr>
        <w:pStyle w:val="ListParagraph"/>
        <w:numPr>
          <w:ilvl w:val="0"/>
          <w:numId w:val="3"/>
        </w:numPr>
        <w:spacing w:after="100"/>
      </w:pPr>
      <w:r>
        <w:t xml:space="preserve">Visite el sitio web de la North Carolina Board of Dietetics/Nutrition: www.ncbdn.org</w:t>
      </w:r>
    </w:p>
    <w:p>
      <w:pPr>
        <w:pStyle w:val="ListParagraph"/>
        <w:numPr>
          <w:ilvl w:val="0"/>
          <w:numId w:val="3"/>
        </w:numPr>
        <w:spacing w:after="100"/>
      </w:pPr>
      <w:r>
        <w:t xml:space="preserve">Descargue el formulario de aplicación para Licencia por Examen (Application for Licensure by Examination)</w:t>
      </w:r>
    </w:p>
    <w:p>
      <w:pPr>
        <w:pStyle w:val="ListParagraph"/>
        <w:numPr>
          <w:ilvl w:val="0"/>
          <w:numId w:val="3"/>
        </w:numPr>
        <w:spacing w:after="100"/>
      </w:pPr>
      <w:r>
        <w:t xml:space="preserve">Complete todos los campos requeridos con información precisa</w:t>
      </w:r>
    </w:p>
    <w:p>
      <w:pPr>
        <w:pStyle w:val="ListParagraph"/>
        <w:numPr>
          <w:ilvl w:val="0"/>
          <w:numId w:val="3"/>
        </w:numPr>
        <w:spacing w:after="100"/>
      </w:pPr>
      <w:r>
        <w:t xml:space="preserve">Adjunte todos los documentos requeridos (ver sección de documentos necesarios)</w:t>
      </w:r>
    </w:p>
    <w:p>
      <w:pPr>
        <w:pStyle w:val="ListParagraph"/>
        <w:numPr>
          <w:ilvl w:val="0"/>
          <w:numId w:val="3"/>
        </w:numPr>
        <w:spacing w:after="100"/>
      </w:pPr>
      <w:r>
        <w:t xml:space="preserve">Pague la tarifa de aplicación</w:t>
      </w:r>
    </w:p>
    <w:p>
      <w:pPr>
        <w:pStyle w:val="ListParagraph"/>
        <w:numPr>
          <w:ilvl w:val="0"/>
          <w:numId w:val="3"/>
        </w:numPr>
        <w:spacing w:after="300"/>
      </w:pPr>
      <w:r>
        <w:t xml:space="preserve">Envíe la aplicación completa por correo o según las instrucciones del Board</w:t>
      </w:r>
    </w:p>
    <w:p>
      <w:pPr>
        <w:pStyle w:val="Heading1"/>
      </w:pPr>
      <w:r>
        <w:t xml:space="preserve">DOCUMENTOS NECESARIOS PARA LA APLICACIÓN</w:t>
      </w:r>
    </w:p>
    <w:p>
      <w:pPr>
        <w:pStyle w:val="ListParagraph"/>
        <w:numPr>
          <w:ilvl w:val="0"/>
          <w:numId w:val="3"/>
        </w:numPr>
        <w:spacing w:after="100"/>
      </w:pPr>
      <w:r>
        <w:t xml:space="preserve">Formulario de aplicación completado y firmado</w:t>
      </w:r>
    </w:p>
    <w:p>
      <w:pPr>
        <w:pStyle w:val="ListParagraph"/>
        <w:numPr>
          <w:ilvl w:val="0"/>
          <w:numId w:val="3"/>
        </w:numPr>
        <w:spacing w:after="100"/>
      </w:pPr>
      <w:r>
        <w:t xml:space="preserve">Copia de su evaluación de credenciales educativas</w:t>
      </w:r>
    </w:p>
    <w:p>
      <w:pPr>
        <w:pStyle w:val="ListParagraph"/>
        <w:numPr>
          <w:ilvl w:val="0"/>
          <w:numId w:val="3"/>
        </w:numPr>
        <w:spacing w:after="100"/>
      </w:pPr>
      <w:r>
        <w:t xml:space="preserve">Transcripciones oficiales (originales en sobre sellado o enviadas directamente por la institución)</w:t>
      </w:r>
    </w:p>
    <w:p>
      <w:pPr>
        <w:pStyle w:val="ListParagraph"/>
        <w:numPr>
          <w:ilvl w:val="0"/>
          <w:numId w:val="3"/>
        </w:numPr>
        <w:spacing w:after="100"/>
      </w:pPr>
      <w:r>
        <w:t xml:space="preserve">Prueba de haber aprobado el examen de registro de CDR</w:t>
      </w:r>
    </w:p>
    <w:p>
      <w:pPr>
        <w:pStyle w:val="ListParagraph"/>
        <w:numPr>
          <w:ilvl w:val="0"/>
          <w:numId w:val="3"/>
        </w:numPr>
        <w:spacing w:after="100"/>
      </w:pPr>
      <w:r>
        <w:t xml:space="preserve">Documentación de práctica supervisada completada</w:t>
      </w:r>
    </w:p>
    <w:p>
      <w:pPr>
        <w:pStyle w:val="ListParagraph"/>
        <w:numPr>
          <w:ilvl w:val="0"/>
          <w:numId w:val="3"/>
        </w:numPr>
        <w:spacing w:after="100"/>
      </w:pPr>
      <w:r>
        <w:t xml:space="preserve">Dos fotografías tamaño pasaporte</w:t>
      </w:r>
    </w:p>
    <w:p>
      <w:pPr>
        <w:pStyle w:val="ListParagraph"/>
        <w:numPr>
          <w:ilvl w:val="0"/>
          <w:numId w:val="3"/>
        </w:numPr>
        <w:spacing w:after="100"/>
      </w:pPr>
      <w:r>
        <w:t xml:space="preserve">Verificación de antecedentes penales</w:t>
      </w:r>
    </w:p>
    <w:p>
      <w:pPr>
        <w:pStyle w:val="ListParagraph"/>
        <w:numPr>
          <w:ilvl w:val="0"/>
          <w:numId w:val="3"/>
        </w:numPr>
        <w:spacing w:after="100"/>
      </w:pPr>
      <w:r>
        <w:t xml:space="preserve">Pago de la tarifa de aplicación (ver sección de costos)</w:t>
      </w:r>
    </w:p>
    <w:p>
      <w:pPr>
        <w:pStyle w:val="ListParagraph"/>
        <w:numPr>
          <w:ilvl w:val="0"/>
          <w:numId w:val="3"/>
        </w:numPr>
        <w:spacing w:after="300"/>
      </w:pPr>
      <w:r>
        <w:t xml:space="preserve">Formulario de verificación de licencias de otros estados (si aplica)</w:t>
      </w:r>
    </w:p>
    <w:p>
      <w:pPr>
        <w:pStyle w:val="Heading1"/>
      </w:pPr>
      <w:r>
        <w:t xml:space="preserve">COSTOS APROXIMADOS DEL PROCESO</w:t>
      </w:r>
    </w:p>
    <w:p>
      <w:pPr>
        <w:spacing w:after="200"/>
      </w:pPr>
      <w:r>
        <w:t xml:space="preserve">Los costos pueden variar, pero a continuación presentamos estimados actualizados: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16"/>
        <w:gridCol w:w="3744"/>
      </w:tblGrid>
      <w:tr>
        <w:tc>
          <w:tcPr>
            <w:tcW w:type="dxa" w:w="5616"/>
            <w:shd w:fill="2E75B6" w:val="clear"/>
            <w:tcMar>
              <w:top w:type="dxa" w:w="80"/>
              <w:left w:type="dxa" w:w="120"/>
              <w:bottom w:type="dxa" w:w="80"/>
              <w:right w:type="dxa" w:w="120"/>
            </w:tcMar>
          </w:tcPr>
          <w:p>
            <w:r>
              <w:rPr>
                <w:b/>
                <w:bCs/>
                <w:color w:val="FFFFFF"/>
              </w:rPr>
              <w:t xml:space="preserve">Concepto</w:t>
            </w:r>
          </w:p>
        </w:tc>
        <w:tc>
          <w:tcPr>
            <w:tcW w:type="dxa" w:w="3744"/>
            <w:shd w:fill="2E75B6" w:val="clear"/>
            <w:tcMar>
              <w:top w:type="dxa" w:w="80"/>
              <w:left w:type="dxa" w:w="120"/>
              <w:bottom w:type="dxa" w:w="80"/>
              <w:right w:type="dxa" w:w="120"/>
            </w:tcMar>
          </w:tcPr>
          <w:p>
            <w:r>
              <w:rPr>
                <w:b/>
                <w:bCs/>
                <w:color w:val="FFFFFF"/>
              </w:rPr>
              <w:t xml:space="preserve">Costo Aproximado</w:t>
            </w:r>
          </w:p>
        </w:tc>
      </w:tr>
      <w:tr>
        <w:tc>
          <w:tcPr>
            <w:tcW w:type="dxa" w:w="5616"/>
            <w:tcMar>
              <w:top w:type="dxa" w:w="80"/>
              <w:left w:type="dxa" w:w="120"/>
              <w:bottom w:type="dxa" w:w="80"/>
              <w:right w:type="dxa" w:w="120"/>
            </w:tcMar>
          </w:tcPr>
          <w:p>
            <w:r>
              <w:t xml:space="preserve">Evaluación de credenciales (WES/ECE)</w:t>
            </w:r>
          </w:p>
        </w:tc>
        <w:tc>
          <w:tcPr>
            <w:tcW w:type="dxa" w:w="3744"/>
            <w:tcMar>
              <w:top w:type="dxa" w:w="80"/>
              <w:left w:type="dxa" w:w="120"/>
              <w:bottom w:type="dxa" w:w="80"/>
              <w:right w:type="dxa" w:w="120"/>
            </w:tcMar>
          </w:tcPr>
          <w:p>
            <w:r>
              <w:t xml:space="preserve">$200 - $300</w:t>
            </w:r>
          </w:p>
        </w:tc>
      </w:tr>
      <w:tr>
        <w:tc>
          <w:tcPr>
            <w:tcW w:type="dxa" w:w="5616"/>
            <w:shd w:fill="F2F2F2" w:val="clear"/>
            <w:tcMar>
              <w:top w:type="dxa" w:w="80"/>
              <w:left w:type="dxa" w:w="120"/>
              <w:bottom w:type="dxa" w:w="80"/>
              <w:right w:type="dxa" w:w="120"/>
            </w:tcMar>
          </w:tcPr>
          <w:p>
            <w:r>
              <w:t xml:space="preserve">Aplicación para examen CDR</w:t>
            </w:r>
          </w:p>
        </w:tc>
        <w:tc>
          <w:tcPr>
            <w:tcW w:type="dxa" w:w="3744"/>
            <w:shd w:fill="F2F2F2" w:val="clear"/>
            <w:tcMar>
              <w:top w:type="dxa" w:w="80"/>
              <w:left w:type="dxa" w:w="120"/>
              <w:bottom w:type="dxa" w:w="80"/>
              <w:right w:type="dxa" w:w="120"/>
            </w:tcMar>
          </w:tcPr>
          <w:p>
            <w:r>
              <w:t xml:space="preserve">$200</w:t>
            </w:r>
          </w:p>
        </w:tc>
      </w:tr>
      <w:tr>
        <w:tc>
          <w:tcPr>
            <w:tcW w:type="dxa" w:w="5616"/>
            <w:tcMar>
              <w:top w:type="dxa" w:w="80"/>
              <w:left w:type="dxa" w:w="120"/>
              <w:bottom w:type="dxa" w:w="80"/>
              <w:right w:type="dxa" w:w="120"/>
            </w:tcMar>
          </w:tcPr>
          <w:p>
            <w:r>
              <w:t xml:space="preserve">Examen de registro de CDR</w:t>
            </w:r>
          </w:p>
        </w:tc>
        <w:tc>
          <w:tcPr>
            <w:tcW w:type="dxa" w:w="3744"/>
            <w:tcMar>
              <w:top w:type="dxa" w:w="80"/>
              <w:left w:type="dxa" w:w="120"/>
              <w:bottom w:type="dxa" w:w="80"/>
              <w:right w:type="dxa" w:w="120"/>
            </w:tcMar>
          </w:tcPr>
          <w:p>
            <w:r>
              <w:t xml:space="preserve">$200</w:t>
            </w:r>
          </w:p>
        </w:tc>
      </w:tr>
      <w:tr>
        <w:tc>
          <w:tcPr>
            <w:tcW w:type="dxa" w:w="5616"/>
            <w:shd w:fill="F2F2F2" w:val="clear"/>
            <w:tcMar>
              <w:top w:type="dxa" w:w="80"/>
              <w:left w:type="dxa" w:w="120"/>
              <w:bottom w:type="dxa" w:w="80"/>
              <w:right w:type="dxa" w:w="120"/>
            </w:tcMar>
          </w:tcPr>
          <w:p>
            <w:r>
              <w:t xml:space="preserve">Aplicación para licencia estatal (NC)</w:t>
            </w:r>
          </w:p>
        </w:tc>
        <w:tc>
          <w:tcPr>
            <w:tcW w:type="dxa" w:w="3744"/>
            <w:shd w:fill="F2F2F2" w:val="clear"/>
            <w:tcMar>
              <w:top w:type="dxa" w:w="80"/>
              <w:left w:type="dxa" w:w="120"/>
              <w:bottom w:type="dxa" w:w="80"/>
              <w:right w:type="dxa" w:w="120"/>
            </w:tcMar>
          </w:tcPr>
          <w:p>
            <w:r>
              <w:t xml:space="preserve">$100 - $150</w:t>
            </w:r>
          </w:p>
        </w:tc>
      </w:tr>
      <w:tr>
        <w:tc>
          <w:tcPr>
            <w:tcW w:type="dxa" w:w="5616"/>
            <w:tcMar>
              <w:top w:type="dxa" w:w="80"/>
              <w:left w:type="dxa" w:w="120"/>
              <w:bottom w:type="dxa" w:w="80"/>
              <w:right w:type="dxa" w:w="120"/>
            </w:tcMar>
          </w:tcPr>
          <w:p>
            <w:r>
              <w:t xml:space="preserve">Verificación de antecedentes</w:t>
            </w:r>
          </w:p>
        </w:tc>
        <w:tc>
          <w:tcPr>
            <w:tcW w:type="dxa" w:w="3744"/>
            <w:tcMar>
              <w:top w:type="dxa" w:w="80"/>
              <w:left w:type="dxa" w:w="120"/>
              <w:bottom w:type="dxa" w:w="80"/>
              <w:right w:type="dxa" w:w="120"/>
            </w:tcMar>
          </w:tcPr>
          <w:p>
            <w:r>
              <w:t xml:space="preserve">$50 - $100</w:t>
            </w:r>
          </w:p>
        </w:tc>
      </w:tr>
      <w:tr>
        <w:tc>
          <w:tcPr>
            <w:tcW w:type="dxa" w:w="5616"/>
            <w:shd w:fill="F2F2F2" w:val="clear"/>
            <w:tcMar>
              <w:top w:type="dxa" w:w="80"/>
              <w:left w:type="dxa" w:w="120"/>
              <w:bottom w:type="dxa" w:w="80"/>
              <w:right w:type="dxa" w:w="120"/>
            </w:tcMar>
          </w:tcPr>
          <w:p>
            <w:r>
              <w:t xml:space="preserve">Materiales de estudio (libros, cursos)</w:t>
            </w:r>
          </w:p>
        </w:tc>
        <w:tc>
          <w:tcPr>
            <w:tcW w:type="dxa" w:w="3744"/>
            <w:shd w:fill="F2F2F2" w:val="clear"/>
            <w:tcMar>
              <w:top w:type="dxa" w:w="80"/>
              <w:left w:type="dxa" w:w="120"/>
              <w:bottom w:type="dxa" w:w="80"/>
              <w:right w:type="dxa" w:w="120"/>
            </w:tcMar>
          </w:tcPr>
          <w:p>
            <w:r>
              <w:t xml:space="preserve">$300 - $800</w:t>
            </w:r>
          </w:p>
        </w:tc>
      </w:tr>
      <w:tr>
        <w:tc>
          <w:tcPr>
            <w:tcW w:type="dxa" w:w="5616"/>
            <w:shd w:fill="2E75B6" w:val="clear"/>
            <w:tcMar>
              <w:top w:type="dxa" w:w="80"/>
              <w:left w:type="dxa" w:w="120"/>
              <w:bottom w:type="dxa" w:w="80"/>
              <w:right w:type="dxa" w:w="120"/>
            </w:tcMar>
          </w:tcPr>
          <w:p>
            <w:r>
              <w:rPr>
                <w:b/>
                <w:bCs/>
                <w:color w:val="FFFFFF"/>
              </w:rPr>
              <w:t xml:space="preserve">TOTAL APROXIMADO</w:t>
            </w:r>
          </w:p>
        </w:tc>
        <w:tc>
          <w:tcPr>
            <w:tcW w:type="dxa" w:w="3744"/>
            <w:shd w:fill="2E75B6" w:val="clear"/>
            <w:tcMar>
              <w:top w:type="dxa" w:w="80"/>
              <w:left w:type="dxa" w:w="120"/>
              <w:bottom w:type="dxa" w:w="80"/>
              <w:right w:type="dxa" w:w="120"/>
            </w:tcMar>
          </w:tcPr>
          <w:p>
            <w:r>
              <w:rPr>
                <w:b/>
                <w:bCs/>
                <w:color w:val="FFFFFF"/>
              </w:rPr>
              <w:t xml:space="preserve">$1,050 - $1,750</w:t>
            </w:r>
          </w:p>
        </w:tc>
      </w:tr>
    </w:tbl>
    <w:p>
      <w:pPr>
        <w:spacing w:before="200" w:after="300"/>
      </w:pPr>
      <w:r>
        <w:rPr>
          <w:sz w:val="20"/>
          <w:szCs w:val="20"/>
        </w:rPr>
        <w:t xml:space="preserve">Nota: Los costos están sujetos a cambios. Verifique los precios actuales en los sitios web oficiales.</w:t>
      </w:r>
    </w:p>
    <w:p>
      <w:pPr>
        <w:pStyle w:val="Heading1"/>
      </w:pPr>
      <w:r>
        <w:t xml:space="preserve">EL EXAMEN DE REGISTRO (CDR)</w:t>
      </w:r>
    </w:p>
    <w:p>
      <w:pPr>
        <w:pStyle w:val="Heading2"/>
      </w:pPr>
      <w:r>
        <w:t xml:space="preserve">Información General del Examen</w:t>
      </w:r>
    </w:p>
    <w:p>
      <w:pPr>
        <w:pStyle w:val="ListParagraph"/>
        <w:numPr>
          <w:ilvl w:val="0"/>
          <w:numId w:val="3"/>
        </w:numPr>
        <w:spacing w:after="100"/>
      </w:pPr>
      <w:r>
        <w:t xml:space="preserve">Nombre oficial: Registration Examination for Dietitians</w:t>
      </w:r>
    </w:p>
    <w:p>
      <w:pPr>
        <w:pStyle w:val="ListParagraph"/>
        <w:numPr>
          <w:ilvl w:val="0"/>
          <w:numId w:val="3"/>
        </w:numPr>
        <w:spacing w:after="100"/>
      </w:pPr>
      <w:r>
        <w:t xml:space="preserve">Formato: Examen computarizado de opción múltiple</w:t>
      </w:r>
    </w:p>
    <w:p>
      <w:pPr>
        <w:pStyle w:val="ListParagraph"/>
        <w:numPr>
          <w:ilvl w:val="0"/>
          <w:numId w:val="3"/>
        </w:numPr>
        <w:spacing w:after="100"/>
      </w:pPr>
      <w:r>
        <w:t xml:space="preserve">Número de preguntas: 125 preguntas (de las cuales 20 son preguntas piloto no calificadas)</w:t>
      </w:r>
    </w:p>
    <w:p>
      <w:pPr>
        <w:pStyle w:val="ListParagraph"/>
        <w:numPr>
          <w:ilvl w:val="0"/>
          <w:numId w:val="3"/>
        </w:numPr>
        <w:spacing w:after="100"/>
      </w:pPr>
      <w:r>
        <w:t xml:space="preserve">Duración: 3 horas</w:t>
      </w:r>
    </w:p>
    <w:p>
      <w:pPr>
        <w:pStyle w:val="ListParagraph"/>
        <w:numPr>
          <w:ilvl w:val="0"/>
          <w:numId w:val="3"/>
        </w:numPr>
        <w:spacing w:after="100"/>
      </w:pPr>
      <w:r>
        <w:t xml:space="preserve">Idioma: Inglés</w:t>
      </w:r>
    </w:p>
    <w:p>
      <w:pPr>
        <w:pStyle w:val="ListParagraph"/>
        <w:numPr>
          <w:ilvl w:val="0"/>
          <w:numId w:val="3"/>
        </w:numPr>
        <w:spacing w:after="300"/>
      </w:pPr>
      <w:r>
        <w:t xml:space="preserve">Lugar: Centros de prueba Pearson VUE en todo el país</w:t>
      </w:r>
    </w:p>
    <w:p>
      <w:pPr>
        <w:pStyle w:val="Heading2"/>
      </w:pPr>
      <w:r>
        <w:t xml:space="preserve">Áreas del Examen</w:t>
      </w:r>
    </w:p>
    <w:p>
      <w:pPr>
        <w:spacing w:after="120"/>
      </w:pPr>
      <w:r>
        <w:t xml:space="preserve">El examen evalúa competencias en cuatro dominios principales:</w:t>
      </w:r>
    </w:p>
    <w:p>
      <w:pPr>
        <w:pStyle w:val="ListParagraph"/>
        <w:numPr>
          <w:ilvl w:val="0"/>
          <w:numId w:val="2"/>
        </w:numPr>
        <w:spacing w:after="100"/>
      </w:pPr>
      <w:r>
        <w:rPr>
          <w:b/>
          <w:bCs/>
        </w:rPr>
        <w:t xml:space="preserve">Principios de Dietética (15%): </w:t>
      </w:r>
      <w:r>
        <w:t xml:space="preserve">Fundamentos de la profesión, ética, práctica basada en evidencia</w:t>
      </w:r>
    </w:p>
    <w:p>
      <w:pPr>
        <w:pStyle w:val="ListParagraph"/>
        <w:numPr>
          <w:ilvl w:val="0"/>
          <w:numId w:val="2"/>
        </w:numPr>
        <w:spacing w:after="100"/>
      </w:pPr>
      <w:r>
        <w:rPr>
          <w:b/>
          <w:bCs/>
        </w:rPr>
        <w:t xml:space="preserve">Nutrición a través del Ciclo de Vida (18%): </w:t>
      </w:r>
      <w:r>
        <w:t xml:space="preserve">Necesidades nutricionales desde el embarazo hasta la vejez</w:t>
      </w:r>
    </w:p>
    <w:p>
      <w:pPr>
        <w:pStyle w:val="ListParagraph"/>
        <w:numPr>
          <w:ilvl w:val="0"/>
          <w:numId w:val="2"/>
        </w:numPr>
        <w:spacing w:after="100"/>
      </w:pPr>
      <w:r>
        <w:rPr>
          <w:b/>
          <w:bCs/>
        </w:rPr>
        <w:t xml:space="preserve">Aplicaciones Clínicas (41%): </w:t>
      </w:r>
      <w:r>
        <w:t xml:space="preserve">Evaluación nutricional, terapia médica nutricional, nutrición enteral y parenteral</w:t>
      </w:r>
    </w:p>
    <w:p>
      <w:pPr>
        <w:pStyle w:val="ListParagraph"/>
        <w:numPr>
          <w:ilvl w:val="0"/>
          <w:numId w:val="2"/>
        </w:numPr>
        <w:spacing w:after="300"/>
      </w:pPr>
      <w:r>
        <w:rPr>
          <w:b/>
          <w:bCs/>
        </w:rPr>
        <w:t xml:space="preserve">Gestión de Servicios de Alimentos y Nutrición (26%): </w:t>
      </w:r>
      <w:r>
        <w:t xml:space="preserve">Administración, liderazgo, seguridad alimentaria, sistemas de servicio</w:t>
      </w:r>
    </w:p>
    <w:p>
      <w:pPr>
        <w:pStyle w:val="Heading1"/>
      </w:pPr>
      <w:r>
        <w:t xml:space="preserve">LIBROS Y MATERIALES RECOMENDADOS PARA ESTUDIAR</w:t>
      </w:r>
    </w:p>
    <w:p>
      <w:pPr>
        <w:pStyle w:val="Heading2"/>
      </w:pPr>
      <w:r>
        <w:t xml:space="preserve">Libros Principales</w:t>
      </w:r>
    </w:p>
    <w:p>
      <w:pPr>
        <w:pStyle w:val="ListParagraph"/>
        <w:numPr>
          <w:ilvl w:val="0"/>
          <w:numId w:val="2"/>
        </w:numPr>
        <w:spacing w:after="120"/>
      </w:pPr>
      <w:r>
        <w:rPr>
          <w:b/>
          <w:bCs/>
        </w:rPr>
        <w:t xml:space="preserve">"Krause's Food &amp; the Nutrition Care Process" </w:t>
      </w:r>
      <w:r>
        <w:t xml:space="preserve">por L. Kathleen Mahan y Janice L. Raymond</w:t>
      </w:r>
    </w:p>
    <w:p>
      <w:pPr>
        <w:spacing w:after="200"/>
      </w:pPr>
      <w:r>
        <w:t xml:space="preserve">Considerado la "biblia" de la nutrición clínica. Cubre terapia médica nutricional para todas las condiciones principales.</w:t>
      </w:r>
    </w:p>
    <w:p>
      <w:pPr>
        <w:pStyle w:val="ListParagraph"/>
        <w:numPr>
          <w:ilvl w:val="0"/>
          <w:numId w:val="2"/>
        </w:numPr>
        <w:spacing w:after="120"/>
      </w:pPr>
      <w:r>
        <w:rPr>
          <w:b/>
          <w:bCs/>
        </w:rPr>
        <w:t xml:space="preserve">"Academy of Nutrition and Dietetics Complete Food and Nutrition Guide" </w:t>
      </w:r>
      <w:r>
        <w:t xml:space="preserve">por Roberta Larson Duyff</w:t>
      </w:r>
    </w:p>
    <w:p>
      <w:pPr>
        <w:spacing w:after="200"/>
      </w:pPr>
      <w:r>
        <w:t xml:space="preserve">Guía completa sobre nutrición básica y aplicada, fácil de leer y muy completa.</w:t>
      </w:r>
    </w:p>
    <w:p>
      <w:pPr>
        <w:pStyle w:val="ListParagraph"/>
        <w:numPr>
          <w:ilvl w:val="0"/>
          <w:numId w:val="2"/>
        </w:numPr>
        <w:spacing w:after="120"/>
      </w:pPr>
      <w:r>
        <w:rPr>
          <w:b/>
          <w:bCs/>
        </w:rPr>
        <w:t xml:space="preserve">"Visual Veggies Nutrition Therapy Pathophysiology Study Guide" </w:t>
      </w:r>
      <w:r>
        <w:t xml:space="preserve">por Jean Inman</w:t>
      </w:r>
    </w:p>
    <w:p>
      <w:pPr>
        <w:spacing w:after="200"/>
      </w:pPr>
      <w:r>
        <w:t xml:space="preserve">Excelente recurso visual que simplifica conceptos complejos de fisiopatología y terapia nutricional.</w:t>
      </w:r>
    </w:p>
    <w:p>
      <w:pPr>
        <w:pStyle w:val="ListParagraph"/>
        <w:numPr>
          <w:ilvl w:val="0"/>
          <w:numId w:val="2"/>
        </w:numPr>
        <w:spacing w:after="120"/>
      </w:pPr>
      <w:r>
        <w:rPr>
          <w:b/>
          <w:bCs/>
        </w:rPr>
        <w:t xml:space="preserve">"Pocket Guide to Nutrition Assessment" </w:t>
      </w:r>
      <w:r>
        <w:t xml:space="preserve">por Pamela Charney y Ainsley Malone</w:t>
      </w:r>
    </w:p>
    <w:p>
      <w:pPr>
        <w:spacing w:after="200"/>
      </w:pPr>
      <w:r>
        <w:t xml:space="preserve">Guía práctica y concisa para evaluación nutricional, muy útil para revisión rápida.</w:t>
      </w:r>
    </w:p>
    <w:p>
      <w:pPr>
        <w:pStyle w:val="ListParagraph"/>
        <w:numPr>
          <w:ilvl w:val="0"/>
          <w:numId w:val="2"/>
        </w:numPr>
        <w:spacing w:after="300"/>
      </w:pPr>
      <w:r>
        <w:rPr>
          <w:b/>
          <w:bCs/>
        </w:rPr>
        <w:t xml:space="preserve">"Management of Food and Nutrition Services" </w:t>
      </w:r>
      <w:r>
        <w:t xml:space="preserve">por Ruby P. Puckett y Amy M. Hamilton</w:t>
      </w:r>
    </w:p>
    <w:p>
      <w:pPr>
        <w:spacing w:after="300"/>
      </w:pPr>
      <w:r>
        <w:t xml:space="preserve">Esencial para el componente de gestión de servicios de alimentos del examen.</w:t>
      </w:r>
    </w:p>
    <w:p>
      <w:pPr>
        <w:pStyle w:val="Heading2"/>
      </w:pPr>
      <w:r>
        <w:t xml:space="preserve">Cursos de Preparación</w:t>
      </w:r>
    </w:p>
    <w:p>
      <w:pPr>
        <w:pStyle w:val="ListParagraph"/>
        <w:numPr>
          <w:ilvl w:val="0"/>
          <w:numId w:val="3"/>
        </w:numPr>
        <w:spacing w:after="120"/>
      </w:pPr>
      <w:r>
        <w:rPr>
          <w:b/>
          <w:bCs/>
        </w:rPr>
        <w:t xml:space="preserve">Inman's Review Course: </w:t>
      </w:r>
      <w:r>
        <w:t xml:space="preserve">Curso intensivo en línea con videos, guías de estudio y exámenes de práctica (www.inmansreview.com)</w:t>
      </w:r>
    </w:p>
    <w:p>
      <w:pPr>
        <w:pStyle w:val="ListParagraph"/>
        <w:numPr>
          <w:ilvl w:val="0"/>
          <w:numId w:val="3"/>
        </w:numPr>
        <w:spacing w:after="120"/>
      </w:pPr>
      <w:r>
        <w:rPr>
          <w:b/>
          <w:bCs/>
        </w:rPr>
        <w:t xml:space="preserve">RD to be: </w:t>
      </w:r>
      <w:r>
        <w:t xml:space="preserve">Plataforma con banco de preguntas y materiales de estudio (www.rdtobe.com)</w:t>
      </w:r>
    </w:p>
    <w:p>
      <w:pPr>
        <w:pStyle w:val="ListParagraph"/>
        <w:numPr>
          <w:ilvl w:val="0"/>
          <w:numId w:val="3"/>
        </w:numPr>
        <w:spacing w:after="300"/>
      </w:pPr>
      <w:r>
        <w:rPr>
          <w:b/>
          <w:bCs/>
        </w:rPr>
        <w:t xml:space="preserve">Eat Right Prep: </w:t>
      </w:r>
      <w:r>
        <w:t xml:space="preserve">Exámenes de práctica oficiales de la Academy of Nutrition and Dietetics (www.eatrightprep.org)</w:t>
      </w:r>
    </w:p>
    <w:p>
      <w:pPr>
        <w:pStyle w:val="Heading1"/>
      </w:pPr>
      <w:r>
        <w:t xml:space="preserve">RECURSOS ADICIONALES</w:t>
      </w:r>
    </w:p>
    <w:p>
      <w:pPr>
        <w:pStyle w:val="Heading2"/>
      </w:pPr>
      <w:r>
        <w:t xml:space="preserve">Videos Educativos</w:t>
      </w:r>
    </w:p>
    <w:p>
      <w:pPr>
        <w:pStyle w:val="ListParagraph"/>
        <w:numPr>
          <w:ilvl w:val="0"/>
          <w:numId w:val="3"/>
        </w:numPr>
        <w:spacing w:after="100"/>
      </w:pPr>
      <w:r>
        <w:t xml:space="preserve">Canal de YouTube "NutritionFacts.org" - Videos sobre investigación nutricional basada en evidencia</w:t>
      </w:r>
    </w:p>
    <w:p>
      <w:pPr>
        <w:pStyle w:val="ListParagraph"/>
        <w:numPr>
          <w:ilvl w:val="0"/>
          <w:numId w:val="3"/>
        </w:numPr>
        <w:spacing w:after="100"/>
      </w:pPr>
      <w:r>
        <w:t xml:space="preserve">Canal de YouTube "Registered Dietitian Nutritionist" - Consejos de estudio y revisión de conceptos</w:t>
      </w:r>
    </w:p>
    <w:p>
      <w:pPr>
        <w:pStyle w:val="ListParagraph"/>
        <w:numPr>
          <w:ilvl w:val="0"/>
          <w:numId w:val="3"/>
        </w:numPr>
        <w:spacing w:after="100"/>
      </w:pPr>
      <w:r>
        <w:t xml:space="preserve">Academia de Nutrición y Dietética (www.eatright.org) - Webinars y recursos educativos</w:t>
      </w:r>
    </w:p>
    <w:p>
      <w:pPr>
        <w:pStyle w:val="ListParagraph"/>
        <w:numPr>
          <w:ilvl w:val="0"/>
          <w:numId w:val="3"/>
        </w:numPr>
        <w:spacing w:after="300"/>
      </w:pPr>
      <w:r>
        <w:t xml:space="preserve">Khan Academy Medical - Videos de fisiopatología y metabolismo</w:t>
      </w:r>
    </w:p>
    <w:p>
      <w:pPr>
        <w:pStyle w:val="Heading2"/>
      </w:pPr>
      <w:r>
        <w:t xml:space="preserve">Bancos de Preguntas y Práctica</w:t>
      </w:r>
    </w:p>
    <w:p>
      <w:pPr>
        <w:pStyle w:val="ListParagraph"/>
        <w:numPr>
          <w:ilvl w:val="0"/>
          <w:numId w:val="3"/>
        </w:numPr>
        <w:spacing w:after="100"/>
      </w:pPr>
      <w:r>
        <w:rPr>
          <w:b/>
          <w:bCs/>
        </w:rPr>
        <w:t xml:space="preserve">Eat Right Prep (www.eatrightprep.org): </w:t>
      </w:r>
      <w:r>
        <w:t xml:space="preserve">Exámenes de práctica oficiales, altamente recomendado</w:t>
      </w:r>
    </w:p>
    <w:p>
      <w:pPr>
        <w:pStyle w:val="ListParagraph"/>
        <w:numPr>
          <w:ilvl w:val="0"/>
          <w:numId w:val="3"/>
        </w:numPr>
        <w:spacing w:after="100"/>
      </w:pPr>
      <w:r>
        <w:rPr>
          <w:b/>
          <w:bCs/>
        </w:rPr>
        <w:t xml:space="preserve">RD Exam Resources (www.rdexamresources.com): </w:t>
      </w:r>
      <w:r>
        <w:t xml:space="preserve">Banco de más de 800 preguntas de práctica</w:t>
      </w:r>
    </w:p>
    <w:p>
      <w:pPr>
        <w:pStyle w:val="ListParagraph"/>
        <w:numPr>
          <w:ilvl w:val="0"/>
          <w:numId w:val="3"/>
        </w:numPr>
        <w:spacing w:after="100"/>
      </w:pPr>
      <w:r>
        <w:rPr>
          <w:b/>
          <w:bCs/>
        </w:rPr>
        <w:t xml:space="preserve">Pocket Prep RD App: </w:t>
      </w:r>
      <w:r>
        <w:t xml:space="preserve">Aplicación móvil con preguntas de práctica para estudiar en cualquier momento</w:t>
      </w:r>
    </w:p>
    <w:p>
      <w:pPr>
        <w:pStyle w:val="ListParagraph"/>
        <w:numPr>
          <w:ilvl w:val="0"/>
          <w:numId w:val="3"/>
        </w:numPr>
        <w:spacing w:after="100"/>
      </w:pPr>
      <w:r>
        <w:rPr>
          <w:b/>
          <w:bCs/>
        </w:rPr>
        <w:t xml:space="preserve">Quizlet: </w:t>
      </w:r>
      <w:r>
        <w:t xml:space="preserve">Busque "RD Exam" o "Dietitian Exam" para encontrar miles de tarjetas de estudio creadas por otros candidatos</w:t>
      </w:r>
    </w:p>
    <w:p>
      <w:pPr>
        <w:pStyle w:val="ListParagraph"/>
        <w:numPr>
          <w:ilvl w:val="0"/>
          <w:numId w:val="3"/>
        </w:numPr>
        <w:spacing w:after="300"/>
      </w:pPr>
      <w:r>
        <w:rPr>
          <w:b/>
          <w:bCs/>
        </w:rPr>
        <w:t xml:space="preserve">Study.com: </w:t>
      </w:r>
      <w:r>
        <w:t xml:space="preserve">Cursos en video y bancos de preguntas sobre temas específicos de nutrición</w:t>
      </w:r>
    </w:p>
    <w:p>
      <w:pPr>
        <w:pStyle w:val="Heading2"/>
      </w:pPr>
      <w:r>
        <w:t xml:space="preserve">Sitios Web Oficiales Importantes</w:t>
      </w:r>
    </w:p>
    <w:p>
      <w:pPr>
        <w:pStyle w:val="ListParagraph"/>
        <w:numPr>
          <w:ilvl w:val="0"/>
          <w:numId w:val="3"/>
        </w:numPr>
        <w:spacing w:after="100"/>
      </w:pPr>
      <w:r>
        <w:rPr>
          <w:b/>
          <w:bCs/>
        </w:rPr>
        <w:t xml:space="preserve">Commission on Dietetic Registration: </w:t>
      </w:r>
      <w:r>
        <w:t xml:space="preserve">www.cdrnet.org</w:t>
      </w:r>
    </w:p>
    <w:p>
      <w:pPr>
        <w:pStyle w:val="ListParagraph"/>
        <w:numPr>
          <w:ilvl w:val="0"/>
          <w:numId w:val="3"/>
        </w:numPr>
        <w:spacing w:after="100"/>
      </w:pPr>
      <w:r>
        <w:rPr>
          <w:b/>
          <w:bCs/>
        </w:rPr>
        <w:t xml:space="preserve">North Carolina Board of Dietetics/Nutrition: </w:t>
      </w:r>
      <w:r>
        <w:t xml:space="preserve">www.ncbdn.org</w:t>
      </w:r>
    </w:p>
    <w:p>
      <w:pPr>
        <w:pStyle w:val="ListParagraph"/>
        <w:numPr>
          <w:ilvl w:val="0"/>
          <w:numId w:val="3"/>
        </w:numPr>
        <w:spacing w:after="100"/>
      </w:pPr>
      <w:r>
        <w:rPr>
          <w:b/>
          <w:bCs/>
        </w:rPr>
        <w:t xml:space="preserve">Academy of Nutrition and Dietetics: </w:t>
      </w:r>
      <w:r>
        <w:t xml:space="preserve">www.eatright.org</w:t>
      </w:r>
    </w:p>
    <w:p>
      <w:pPr>
        <w:pStyle w:val="ListParagraph"/>
        <w:numPr>
          <w:ilvl w:val="0"/>
          <w:numId w:val="3"/>
        </w:numPr>
        <w:spacing w:after="300"/>
      </w:pPr>
      <w:r>
        <w:rPr>
          <w:b/>
          <w:bCs/>
        </w:rPr>
        <w:t xml:space="preserve">ACEND (Accreditation Council for Education in Nutrition and Dietetics): </w:t>
      </w:r>
      <w:r>
        <w:t xml:space="preserve">www.eatrightpro.org/acend</w:t>
      </w:r>
    </w:p>
    <w:p>
      <w:pPr>
        <w:pStyle w:val="Heading1"/>
      </w:pPr>
      <w:r>
        <w:t xml:space="preserve">CONSEJOS PARA PREPARARSE EXITOSAMENTE</w:t>
      </w:r>
    </w:p>
    <w:p>
      <w:pPr>
        <w:pStyle w:val="ListParagraph"/>
        <w:numPr>
          <w:ilvl w:val="0"/>
          <w:numId w:val="2"/>
        </w:numPr>
        <w:spacing w:after="120"/>
      </w:pPr>
      <w:r>
        <w:rPr>
          <w:b/>
          <w:bCs/>
        </w:rPr>
        <w:t xml:space="preserve">Planifique con tiempo: </w:t>
      </w:r>
      <w:r>
        <w:t xml:space="preserve">La mayoría de candidatos estudian de 3 a 6 meses antes del examen. Cree un calendario de estudio realista.</w:t>
      </w:r>
    </w:p>
    <w:p>
      <w:pPr>
        <w:pStyle w:val="ListParagraph"/>
        <w:numPr>
          <w:ilvl w:val="0"/>
          <w:numId w:val="2"/>
        </w:numPr>
        <w:spacing w:after="120"/>
      </w:pPr>
      <w:r>
        <w:rPr>
          <w:b/>
          <w:bCs/>
        </w:rPr>
        <w:t xml:space="preserve">Estudie en inglés desde el principio: </w:t>
      </w:r>
      <w:r>
        <w:t xml:space="preserve">Familiarícese con la terminología médica y nutricional en inglés. El examen será en este idioma.</w:t>
      </w:r>
    </w:p>
    <w:p>
      <w:pPr>
        <w:pStyle w:val="ListParagraph"/>
        <w:numPr>
          <w:ilvl w:val="0"/>
          <w:numId w:val="2"/>
        </w:numPr>
        <w:spacing w:after="120"/>
      </w:pPr>
      <w:r>
        <w:rPr>
          <w:b/>
          <w:bCs/>
        </w:rPr>
        <w:t xml:space="preserve">Utilice múltiples recursos: </w:t>
      </w:r>
      <w:r>
        <w:t xml:space="preserve">Combine libros de texto, videos, cursos en línea y bancos de preguntas para una preparación completa.</w:t>
      </w:r>
    </w:p>
    <w:p>
      <w:pPr>
        <w:pStyle w:val="ListParagraph"/>
        <w:numPr>
          <w:ilvl w:val="0"/>
          <w:numId w:val="2"/>
        </w:numPr>
        <w:spacing w:after="120"/>
      </w:pPr>
      <w:r>
        <w:rPr>
          <w:b/>
          <w:bCs/>
        </w:rPr>
        <w:t xml:space="preserve">Practique con exámenes simulados: </w:t>
      </w:r>
      <w:r>
        <w:t xml:space="preserve">Los exámenes de práctica le ayudarán a familiarizarse con el formato y a identificar áreas débiles.</w:t>
      </w:r>
    </w:p>
    <w:p>
      <w:pPr>
        <w:pStyle w:val="ListParagraph"/>
        <w:numPr>
          <w:ilvl w:val="0"/>
          <w:numId w:val="2"/>
        </w:numPr>
        <w:spacing w:after="120"/>
      </w:pPr>
      <w:r>
        <w:rPr>
          <w:b/>
          <w:bCs/>
        </w:rPr>
        <w:t xml:space="preserve">Únase a grupos de estudio: </w:t>
      </w:r>
      <w:r>
        <w:t xml:space="preserve">Conéctese con otros candidatos en redes sociales o foros. Facebook tiene grupos activos de estudio para el examen RD.</w:t>
      </w:r>
    </w:p>
    <w:p>
      <w:pPr>
        <w:pStyle w:val="ListParagraph"/>
        <w:numPr>
          <w:ilvl w:val="0"/>
          <w:numId w:val="2"/>
        </w:numPr>
        <w:spacing w:after="120"/>
      </w:pPr>
      <w:r>
        <w:rPr>
          <w:b/>
          <w:bCs/>
        </w:rPr>
        <w:t xml:space="preserve">Enfóquese en sus áreas débiles: </w:t>
      </w:r>
      <w:r>
        <w:t xml:space="preserve">Use los resultados de sus exámenes de práctica para identificar qué temas necesitan más repaso.</w:t>
      </w:r>
    </w:p>
    <w:p>
      <w:pPr>
        <w:pStyle w:val="ListParagraph"/>
        <w:numPr>
          <w:ilvl w:val="0"/>
          <w:numId w:val="2"/>
        </w:numPr>
        <w:spacing w:after="120"/>
      </w:pPr>
      <w:r>
        <w:rPr>
          <w:b/>
          <w:bCs/>
        </w:rPr>
        <w:t xml:space="preserve">Mantenga una rutina saludable: </w:t>
      </w:r>
      <w:r>
        <w:t xml:space="preserve">Duerma bien, aliméntese correctamente y haga ejercicio. Su bienestar físico y mental es crucial.</w:t>
      </w:r>
    </w:p>
    <w:p>
      <w:pPr>
        <w:pStyle w:val="ListParagraph"/>
        <w:numPr>
          <w:ilvl w:val="0"/>
          <w:numId w:val="2"/>
        </w:numPr>
        <w:spacing w:after="300"/>
      </w:pPr>
      <w:r>
        <w:rPr>
          <w:b/>
          <w:bCs/>
        </w:rPr>
        <w:t xml:space="preserve">No se rinda: </w:t>
      </w:r>
      <w:r>
        <w:t xml:space="preserve">El proceso puede ser desafiante, pero con dedicación y los recursos correctos, ¡usted puede lograrlo!</w:t>
      </w:r>
    </w:p>
    <w:p>
      <w:pPr>
        <w:pStyle w:val="Heading1"/>
      </w:pPr>
      <w:r>
        <w:t xml:space="preserve">LÍNEA DE TIEMPO ESTIMADA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shd w:fill="2E75B6" w:val="clear"/>
            <w:tcMar>
              <w:top w:type="dxa" w:w="80"/>
              <w:left w:type="dxa" w:w="120"/>
              <w:bottom w:type="dxa" w:w="80"/>
              <w:right w:type="dxa" w:w="120"/>
            </w:tcMar>
          </w:tcPr>
          <w:p>
            <w:r>
              <w:rPr>
                <w:b/>
                <w:bCs/>
                <w:color w:val="FFFFFF"/>
              </w:rPr>
              <w:t xml:space="preserve">Paso</w:t>
            </w:r>
          </w:p>
        </w:tc>
        <w:tc>
          <w:tcPr>
            <w:tcW w:type="dxa" w:w="4680"/>
            <w:shd w:fill="2E75B6" w:val="clear"/>
            <w:tcMar>
              <w:top w:type="dxa" w:w="80"/>
              <w:left w:type="dxa" w:w="120"/>
              <w:bottom w:type="dxa" w:w="80"/>
              <w:right w:type="dxa" w:w="120"/>
            </w:tcMar>
          </w:tcPr>
          <w:p>
            <w:r>
              <w:rPr>
                <w:b/>
                <w:bCs/>
                <w:color w:val="FFFFFF"/>
              </w:rPr>
              <w:t xml:space="preserve">Tiempo Estimado</w:t>
            </w:r>
          </w:p>
        </w:tc>
      </w:tr>
      <w:tr>
        <w:tc>
          <w:tcPr>
            <w:tcW w:type="dxa" w:w="4680"/>
            <w:tcMar>
              <w:top w:type="dxa" w:w="80"/>
              <w:left w:type="dxa" w:w="120"/>
              <w:bottom w:type="dxa" w:w="80"/>
              <w:right w:type="dxa" w:w="120"/>
            </w:tcMar>
          </w:tcPr>
          <w:p>
            <w:r>
              <w:t xml:space="preserve">Evaluación de credenciales</w:t>
            </w:r>
          </w:p>
        </w:tc>
        <w:tc>
          <w:tcPr>
            <w:tcW w:type="dxa" w:w="4680"/>
            <w:tcMar>
              <w:top w:type="dxa" w:w="80"/>
              <w:left w:type="dxa" w:w="120"/>
              <w:bottom w:type="dxa" w:w="80"/>
              <w:right w:type="dxa" w:w="120"/>
            </w:tcMar>
          </w:tcPr>
          <w:p>
            <w:r>
              <w:t xml:space="preserve">4-8 semanas</w:t>
            </w:r>
          </w:p>
        </w:tc>
      </w:tr>
      <w:tr>
        <w:tc>
          <w:tcPr>
            <w:tcW w:type="dxa" w:w="4680"/>
            <w:shd w:fill="F2F2F2" w:val="clear"/>
            <w:tcMar>
              <w:top w:type="dxa" w:w="80"/>
              <w:left w:type="dxa" w:w="120"/>
              <w:bottom w:type="dxa" w:w="80"/>
              <w:right w:type="dxa" w:w="120"/>
            </w:tcMar>
          </w:tcPr>
          <w:p>
            <w:r>
              <w:t xml:space="preserve">Aplicación CDR y aprobación</w:t>
            </w:r>
          </w:p>
        </w:tc>
        <w:tc>
          <w:tcPr>
            <w:tcW w:type="dxa" w:w="4680"/>
            <w:shd w:fill="F2F2F2" w:val="clear"/>
            <w:tcMar>
              <w:top w:type="dxa" w:w="80"/>
              <w:left w:type="dxa" w:w="120"/>
              <w:bottom w:type="dxa" w:w="80"/>
              <w:right w:type="dxa" w:w="120"/>
            </w:tcMar>
          </w:tcPr>
          <w:p>
            <w:r>
              <w:t xml:space="preserve">2-4 semanas</w:t>
            </w:r>
          </w:p>
        </w:tc>
      </w:tr>
      <w:tr>
        <w:tc>
          <w:tcPr>
            <w:tcW w:type="dxa" w:w="4680"/>
            <w:tcMar>
              <w:top w:type="dxa" w:w="80"/>
              <w:left w:type="dxa" w:w="120"/>
              <w:bottom w:type="dxa" w:w="80"/>
              <w:right w:type="dxa" w:w="120"/>
            </w:tcMar>
          </w:tcPr>
          <w:p>
            <w:r>
              <w:t xml:space="preserve">Preparación y estudio para examen</w:t>
            </w:r>
          </w:p>
        </w:tc>
        <w:tc>
          <w:tcPr>
            <w:tcW w:type="dxa" w:w="4680"/>
            <w:tcMar>
              <w:top w:type="dxa" w:w="80"/>
              <w:left w:type="dxa" w:w="120"/>
              <w:bottom w:type="dxa" w:w="80"/>
              <w:right w:type="dxa" w:w="120"/>
            </w:tcMar>
          </w:tcPr>
          <w:p>
            <w:r>
              <w:t xml:space="preserve">3-6 meses</w:t>
            </w:r>
          </w:p>
        </w:tc>
      </w:tr>
      <w:tr>
        <w:tc>
          <w:tcPr>
            <w:tcW w:type="dxa" w:w="4680"/>
            <w:shd w:fill="F2F2F2" w:val="clear"/>
            <w:tcMar>
              <w:top w:type="dxa" w:w="80"/>
              <w:left w:type="dxa" w:w="120"/>
              <w:bottom w:type="dxa" w:w="80"/>
              <w:right w:type="dxa" w:w="120"/>
            </w:tcMar>
          </w:tcPr>
          <w:p>
            <w:r>
              <w:t xml:space="preserve">Resultados del examen</w:t>
            </w:r>
          </w:p>
        </w:tc>
        <w:tc>
          <w:tcPr>
            <w:tcW w:type="dxa" w:w="4680"/>
            <w:shd w:fill="F2F2F2" w:val="clear"/>
            <w:tcMar>
              <w:top w:type="dxa" w:w="80"/>
              <w:left w:type="dxa" w:w="120"/>
              <w:bottom w:type="dxa" w:w="80"/>
              <w:right w:type="dxa" w:w="120"/>
            </w:tcMar>
          </w:tcPr>
          <w:p>
            <w:r>
              <w:t xml:space="preserve">Inmediato (en pantalla)</w:t>
            </w:r>
          </w:p>
        </w:tc>
      </w:tr>
      <w:tr>
        <w:tc>
          <w:tcPr>
            <w:tcW w:type="dxa" w:w="4680"/>
            <w:tcMar>
              <w:top w:type="dxa" w:w="80"/>
              <w:left w:type="dxa" w:w="120"/>
              <w:bottom w:type="dxa" w:w="80"/>
              <w:right w:type="dxa" w:w="120"/>
            </w:tcMar>
          </w:tcPr>
          <w:p>
            <w:r>
              <w:t xml:space="preserve">Aplicación y aprobación de licencia estatal</w:t>
            </w:r>
          </w:p>
        </w:tc>
        <w:tc>
          <w:tcPr>
            <w:tcW w:type="dxa" w:w="4680"/>
            <w:tcMar>
              <w:top w:type="dxa" w:w="80"/>
              <w:left w:type="dxa" w:w="120"/>
              <w:bottom w:type="dxa" w:w="80"/>
              <w:right w:type="dxa" w:w="120"/>
            </w:tcMar>
          </w:tcPr>
          <w:p>
            <w:r>
              <w:t xml:space="preserve">4-8 semanas</w:t>
            </w:r>
          </w:p>
        </w:tc>
      </w:tr>
      <w:tr>
        <w:tc>
          <w:tcPr>
            <w:tcW w:type="dxa" w:w="4680"/>
            <w:shd w:fill="2E75B6" w:val="clear"/>
            <w:tcMar>
              <w:top w:type="dxa" w:w="80"/>
              <w:left w:type="dxa" w:w="120"/>
              <w:bottom w:type="dxa" w:w="80"/>
              <w:right w:type="dxa" w:w="120"/>
            </w:tcMar>
          </w:tcPr>
          <w:p>
            <w:r>
              <w:rPr>
                <w:b/>
                <w:bCs/>
                <w:color w:val="FFFFFF"/>
              </w:rPr>
              <w:t xml:space="preserve">TIEMPO TOTAL APROXIMADO</w:t>
            </w:r>
          </w:p>
        </w:tc>
        <w:tc>
          <w:tcPr>
            <w:tcW w:type="dxa" w:w="4680"/>
            <w:shd w:fill="2E75B6" w:val="clear"/>
            <w:tcMar>
              <w:top w:type="dxa" w:w="80"/>
              <w:left w:type="dxa" w:w="120"/>
              <w:bottom w:type="dxa" w:w="80"/>
              <w:right w:type="dxa" w:w="120"/>
            </w:tcMar>
          </w:tcPr>
          <w:p>
            <w:r>
              <w:rPr>
                <w:b/>
                <w:bCs/>
                <w:color w:val="FFFFFF"/>
              </w:rPr>
              <w:t xml:space="preserve">6-12 meses</w:t>
            </w:r>
          </w:p>
        </w:tc>
      </w:tr>
    </w:tbl>
    <w:p>
      <w:pPr>
        <w:spacing w:before="360" w:after="480"/>
      </w:pPr>
      <w:r>
        <w:t xml:space="preserve"/>
      </w:r>
    </w:p>
    <w:p>
      <w:pPr>
        <w:pStyle w:val="Heading1"/>
      </w:pPr>
      <w:r>
        <w:t xml:space="preserve">MENSAJE DE MOTIVACIÓN</w:t>
      </w:r>
    </w:p>
    <w:p>
      <w:pPr>
        <w:pBdr>
          <w:top w:val="single" w:color="27AE60" w:sz="6" w:space="1"/>
          <w:bottom w:val="single" w:color="27AE60" w:sz="6" w:space="1"/>
          <w:left w:val="single" w:color="27AE60" w:sz="6" w:space="1"/>
          <w:right w:val="single" w:color="27AE60" w:sz="6" w:space="1"/>
        </w:pBdr>
        <w:shd w:fill="E8F8F5" w:val="clear"/>
        <w:spacing w:before="240" w:after="240"/>
        <w:jc w:val="center"/>
      </w:pPr>
      <w:r>
        <w:rPr>
          <w:b/>
          <w:bCs/>
          <w:color w:val="27AE60"/>
          <w:sz w:val="32"/>
          <w:szCs w:val="32"/>
        </w:rPr>
        <w:t xml:space="preserve">¡SÍ SE PUEDE!</w:t>
      </w:r>
    </w:p>
    <w:p>
      <w:pPr>
        <w:spacing w:after="200"/>
      </w:pPr>
      <w:r>
        <w:t xml:space="preserve">Estimado colega nutricionista,</w:t>
      </w:r>
    </w:p>
    <w:p>
      <w:pPr>
        <w:spacing w:after="200"/>
      </w:pPr>
      <w:r>
        <w:t xml:space="preserve">Sabemos que el camino para obtener su licencia profesional en Estados Unidos puede parecer abrumador, especialmente cuando viene de otro país y debe navegar por un sistema nuevo. Sin embargo, queremos que sepa que </w:t>
      </w:r>
      <w:r>
        <w:rPr>
          <w:b/>
          <w:bCs/>
        </w:rPr>
        <w:t xml:space="preserve">miles de profesionales internacionales han recorrido este camino exitosamente antes que usted</w:t>
      </w:r>
      <w:r>
        <w:t xml:space="preserve">, y usted también puede lograrlo.</w:t>
      </w:r>
    </w:p>
    <w:p>
      <w:pPr>
        <w:spacing w:after="200"/>
      </w:pPr>
      <w:r>
        <w:t xml:space="preserve">Su educación y experiencia como nutricionista son valiosas, sin importar dónde las haya obtenido. El proceso de licenciatura no cuestiona su competencia profesional, simplemente busca asegurar que usted cumpla con los estándares establecidos en este estado. </w:t>
      </w:r>
      <w:r>
        <w:rPr>
          <w:b/>
          <w:bCs/>
        </w:rPr>
        <w:t xml:space="preserve">Usted ya tiene el conocimiento y las habilidades</w:t>
      </w:r>
      <w:r>
        <w:t xml:space="preserve">; ahora solo necesita demostrarlo en el formato requerido.</w:t>
      </w:r>
    </w:p>
    <w:p>
      <w:pPr>
        <w:spacing w:after="200"/>
      </w:pPr>
      <w:r>
        <w:t xml:space="preserve">Es cierto que el examen está en inglés, y que el proceso puede tomar varios meses y requiere una inversión financiera. Pero piense en esto como una inversión en su futuro profesional. </w:t>
      </w:r>
      <w:r>
        <w:rPr>
          <w:b/>
          <w:bCs/>
        </w:rPr>
        <w:t xml:space="preserve">Cada hora de estudio lo acerca más a su meta</w:t>
      </w:r>
      <w:r>
        <w:t xml:space="preserve">. Cada pregunta de práctica que responde fortalece su preparación. Cada pequeño paso cuenta.</w:t>
      </w:r>
    </w:p>
    <w:p>
      <w:pPr>
        <w:spacing w:after="200"/>
      </w:pPr>
      <w:r>
        <w:t xml:space="preserve">La comunidad latina de profesionales de la salud en Estados Unidos está creciendo y necesita nutricionistas como usted que entiendan nuestra cultura, nuestras tradiciones alimentarias y las necesidades específicas de nuestras comunidades. </w:t>
      </w:r>
      <w:r>
        <w:rPr>
          <w:b/>
          <w:bCs/>
        </w:rPr>
        <w:t xml:space="preserve">Su perspectiva única y su trasfondo multicultural son activos valiosos</w:t>
      </w:r>
      <w:r>
        <w:t xml:space="preserve"> que enriquecerán el campo de la nutrición en este país.</w:t>
      </w:r>
    </w:p>
    <w:p>
      <w:pPr>
        <w:spacing w:after="200"/>
      </w:pPr>
      <w:r>
        <w:t xml:space="preserve">No se desanime si el proceso toma tiempo o si enfrenta desafíos en el camino. Muchos de los profesionales más exitosos que conocemos han enfrentado obstáculos similares. Lo importante es mantener el enfoque en su meta y </w:t>
      </w:r>
      <w:r>
        <w:rPr>
          <w:b/>
          <w:bCs/>
        </w:rPr>
        <w:t xml:space="preserve">seguir adelante, un día a la vez</w:t>
      </w:r>
      <w:r>
        <w:t xml:space="preserve">.</w:t>
      </w:r>
    </w:p>
    <w:p>
      <w:pPr>
        <w:spacing w:after="200"/>
      </w:pPr>
      <w:r>
        <w:t xml:space="preserve">Recuerde: usted no está solo en este camino. La Asociación Hispana de Profesionales de la Salud existe para apoyarle. Hay comunidades en línea de otros candidatos pasando por el mismo proceso. Hay recursos, mentores y colegas dispuestos a ayudar.</w:t>
      </w:r>
    </w:p>
    <w:p>
      <w:pPr>
        <w:spacing w:after="200"/>
      </w:pPr>
      <w:r>
        <w:t xml:space="preserve">Su sueño de ejercer como nutricionista licenciado en North Carolina es completamente alcanzable. </w:t>
      </w:r>
      <w:r>
        <w:rPr>
          <w:b/>
          <w:bCs/>
        </w:rPr>
        <w:t xml:space="preserve">Confíe en su preparación, crea en sus capacidades, y mantenga la perseverancia</w:t>
      </w:r>
      <w:r>
        <w:t xml:space="preserve">. Pronto estará ayudando a pacientes, educando comunidades y contribuyendo al bienestar de muchas personas en su nuevo hogar profesional.</w:t>
      </w:r>
    </w:p>
    <w:p>
      <w:pPr>
        <w:spacing w:before="240" w:after="360"/>
        <w:jc w:val="center"/>
      </w:pPr>
      <w:r>
        <w:rPr>
          <w:b/>
          <w:bCs/>
          <w:color w:val="27AE60"/>
          <w:sz w:val="26"/>
          <w:szCs w:val="26"/>
        </w:rPr>
        <w:t xml:space="preserve">¡Usted tiene lo que se necesita para lograrlo!</w:t>
      </w:r>
    </w:p>
    <w:p>
      <w:pPr>
        <w:spacing w:after="120"/>
        <w:jc w:val="center"/>
      </w:pPr>
      <w:r>
        <w:t xml:space="preserve">Con apoyo y admiración,</w:t>
      </w:r>
    </w:p>
    <w:p>
      <w:pPr>
        <w:spacing w:after="480"/>
        <w:jc w:val="center"/>
      </w:pPr>
      <w:r>
        <w:rPr>
          <w:b/>
          <w:bCs/>
          <w:sz w:val="24"/>
          <w:szCs w:val="24"/>
        </w:rPr>
        <w:t xml:space="preserve">Dr. Arístides Restituyo</w:t>
      </w:r>
    </w:p>
    <w:p>
      <w:pPr>
        <w:pBdr>
          <w:top w:val="single" w:color="2E75B6" w:sz="6" w:space="1"/>
        </w:pBdr>
        <w:spacing w:before="360" w:after="120"/>
        <w:jc w:val="center"/>
      </w:pPr>
      <w:r>
        <w:rPr>
          <w:b/>
          <w:bCs/>
          <w:color w:val="2E75B6"/>
          <w:sz w:val="24"/>
          <w:szCs w:val="24"/>
        </w:rPr>
        <w:t xml:space="preserve">ASOCIACIÓN HISPANA DE PROFESIONALES DE LA SALUD</w:t>
      </w:r>
    </w:p>
    <w:p>
      <w:pPr>
        <w:spacing w:after="120"/>
        <w:jc w:val="center"/>
      </w:pPr>
      <w:r>
        <w:rPr>
          <w:b/>
          <w:bCs/>
          <w:color w:val="2E75B6"/>
          <w:sz w:val="22"/>
          <w:szCs w:val="22"/>
        </w:rPr>
        <w:t xml:space="preserve">AHPSI</w:t>
      </w:r>
    </w:p>
    <w:p>
      <w:pPr>
        <w:spacing w:after="120"/>
        <w:jc w:val="center"/>
      </w:pPr>
      <w:r>
        <w:t xml:space="preserve">Para más información o apoyo en su proceso de licenciatura:</w:t>
      </w:r>
    </w:p>
    <w:p>
      <w:pPr>
        <w:spacing w:after="80"/>
        <w:jc w:val="center"/>
      </w:pPr>
      <w:r>
        <w:rPr>
          <w:b/>
          <w:bCs/>
          <w:color w:val="2E75B6"/>
          <w:sz w:val="24"/>
          <w:szCs w:val="24"/>
        </w:rPr>
        <w:t xml:space="preserve">Email: info@ahpsi.org</w:t>
      </w:r>
    </w:p>
    <w:p>
      <w:pPr>
        <w:spacing w:after="240"/>
        <w:jc w:val="center"/>
      </w:pPr>
      <w:r>
        <w:t xml:space="preserve">Estamos aquí para apoyarle en cada paso del camino</w:t>
      </w:r>
    </w:p>
    <w:p>
      <w:pPr>
        <w:spacing w:after="120"/>
        <w:jc w:val="center"/>
      </w:pPr>
      <w:r>
        <w:t xml:space="preserve">_______________________________________________</w:t>
      </w:r>
    </w:p>
    <w:p>
      <w:pPr>
        <w:jc w:val="center"/>
      </w:pPr>
      <w:r>
        <w:rPr>
          <w:color w:val="666666"/>
          <w:sz w:val="20"/>
          <w:szCs w:val="20"/>
        </w:rPr>
        <w:t xml:space="preserve">Documento preparado con dedicación para la comunidad latina de nutricionistas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120"/>
      <w:outlineLvl w:val="0"/>
    </w:pPr>
    <w:rPr>
      <w:rFonts w:ascii="Arial" w:cs="Arial" w:eastAsia="Arial" w:hAnsi="Arial"/>
      <w:b/>
      <w:bCs/>
      <w:color w:val="2E75B6"/>
      <w:sz w:val="32"/>
      <w:szCs w:val="32"/>
    </w:rPr>
  </w:style>
  <w:style w:type="paragraph" w:styleId="Heading2">
    <w:name w:val="Heading 2"/>
    <w:basedOn w:val="Normal"/>
    <w:next w:val="Normal"/>
    <w:qFormat/>
    <w:pPr>
      <w:spacing w:before="180" w:after="100"/>
      <w:outlineLvl w:val="1"/>
    </w:pPr>
    <w:rPr>
      <w:rFonts w:ascii="Arial" w:cs="Arial" w:eastAsia="Arial" w:hAnsi="Arial"/>
      <w:b/>
      <w:bCs/>
      <w:color w:val="2E75B6"/>
      <w:sz w:val="28"/>
      <w:szCs w:val="28"/>
    </w:rPr>
  </w:style>
  <w:style w:type="paragraph" w:styleId="Heading3">
    <w:name w:val="Heading 3"/>
    <w:basedOn w:val="Normal"/>
    <w:next w:val="Normal"/>
    <w:qFormat/>
    <w:pPr>
      <w:spacing w:before="120" w:after="80"/>
      <w:outlineLvl w:val="2"/>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2026-02-15T15:26:53.419Z</dcterms:created>
  <dcterms:modified xsi:type="dcterms:W3CDTF">2026-02-15T15:26:53.421Z</dcterms:modified>
</cp:coreProperties>
</file>

<file path=docProps/custom.xml><?xml version="1.0" encoding="utf-8"?>
<Properties xmlns="http://schemas.openxmlformats.org/officeDocument/2006/custom-properties" xmlns:vt="http://schemas.openxmlformats.org/officeDocument/2006/docPropsVTypes"/>
</file>